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24663" w14:textId="126E6017" w:rsidR="00446DBA" w:rsidRPr="001F55CA" w:rsidRDefault="00867868" w:rsidP="001F55CA">
      <w:pPr>
        <w:pBdr>
          <w:bottom w:val="single" w:sz="4" w:space="1" w:color="auto"/>
        </w:pBdr>
        <w:jc w:val="center"/>
        <w:rPr>
          <w:b/>
          <w:bCs/>
          <w:color w:val="000000"/>
          <w:sz w:val="40"/>
          <w:szCs w:val="40"/>
        </w:rPr>
      </w:pPr>
      <w:r w:rsidRPr="001F55CA">
        <w:rPr>
          <w:b/>
          <w:bCs/>
          <w:color w:val="000000"/>
          <w:sz w:val="40"/>
          <w:szCs w:val="40"/>
        </w:rPr>
        <w:t>APC (</w:t>
      </w:r>
      <w:proofErr w:type="spellStart"/>
      <w:r w:rsidR="001F55CA" w:rsidRPr="001F55CA">
        <w:rPr>
          <w:b/>
          <w:bCs/>
          <w:i/>
          <w:iCs/>
          <w:color w:val="000000"/>
          <w:sz w:val="40"/>
          <w:szCs w:val="40"/>
        </w:rPr>
        <w:t>Antigen</w:t>
      </w:r>
      <w:proofErr w:type="spellEnd"/>
      <w:r w:rsidR="001F55CA" w:rsidRPr="001F55CA">
        <w:rPr>
          <w:b/>
          <w:bCs/>
          <w:i/>
          <w:iCs/>
          <w:color w:val="000000"/>
          <w:sz w:val="40"/>
          <w:szCs w:val="40"/>
        </w:rPr>
        <w:t xml:space="preserve"> </w:t>
      </w:r>
      <w:proofErr w:type="spellStart"/>
      <w:r w:rsidR="001F55CA" w:rsidRPr="001F55CA">
        <w:rPr>
          <w:b/>
          <w:bCs/>
          <w:i/>
          <w:iCs/>
          <w:color w:val="000000"/>
          <w:sz w:val="40"/>
          <w:szCs w:val="40"/>
        </w:rPr>
        <w:t>Presenting</w:t>
      </w:r>
      <w:proofErr w:type="spellEnd"/>
      <w:r w:rsidR="001F55CA" w:rsidRPr="001F55CA">
        <w:rPr>
          <w:b/>
          <w:bCs/>
          <w:i/>
          <w:iCs/>
          <w:color w:val="000000"/>
          <w:sz w:val="40"/>
          <w:szCs w:val="40"/>
        </w:rPr>
        <w:t xml:space="preserve"> Cell</w:t>
      </w:r>
      <w:r w:rsidRPr="001F55CA">
        <w:rPr>
          <w:b/>
          <w:bCs/>
          <w:color w:val="000000"/>
          <w:sz w:val="40"/>
          <w:szCs w:val="40"/>
        </w:rPr>
        <w:t>)</w:t>
      </w:r>
    </w:p>
    <w:p w14:paraId="744EC712" w14:textId="77777777" w:rsidR="002B0747" w:rsidRPr="004237A5" w:rsidRDefault="002B0747" w:rsidP="004237A5">
      <w:pPr>
        <w:jc w:val="both"/>
        <w:rPr>
          <w:b/>
          <w:bCs/>
          <w:color w:val="000000"/>
          <w:sz w:val="22"/>
          <w:szCs w:val="22"/>
          <w:u w:val="single"/>
        </w:rPr>
      </w:pPr>
    </w:p>
    <w:p w14:paraId="0F032740" w14:textId="03B9A0C7" w:rsidR="00446DBA" w:rsidRPr="004237A5" w:rsidRDefault="002B0747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Le </w:t>
      </w:r>
      <w:r w:rsidRPr="004237A5">
        <w:rPr>
          <w:b/>
          <w:bCs/>
          <w:color w:val="000000"/>
          <w:sz w:val="22"/>
          <w:szCs w:val="22"/>
        </w:rPr>
        <w:t>APC</w:t>
      </w:r>
      <w:r w:rsidRPr="004237A5">
        <w:rPr>
          <w:color w:val="000000"/>
          <w:sz w:val="22"/>
          <w:szCs w:val="22"/>
        </w:rPr>
        <w:t xml:space="preserve"> s</w:t>
      </w:r>
      <w:r w:rsidR="00446DBA" w:rsidRPr="004237A5">
        <w:rPr>
          <w:color w:val="000000"/>
          <w:sz w:val="22"/>
          <w:szCs w:val="22"/>
        </w:rPr>
        <w:t>ono le cellule deputate alla presentazione degli antigeni ai linfociti T</w:t>
      </w:r>
      <w:r w:rsidR="00411429" w:rsidRPr="004237A5">
        <w:rPr>
          <w:color w:val="000000"/>
          <w:sz w:val="22"/>
          <w:szCs w:val="22"/>
        </w:rPr>
        <w:t>.</w:t>
      </w:r>
      <w:r w:rsidR="00446DBA" w:rsidRPr="004237A5">
        <w:rPr>
          <w:color w:val="000000"/>
          <w:sz w:val="22"/>
          <w:szCs w:val="22"/>
        </w:rPr>
        <w:t xml:space="preserve"> </w:t>
      </w:r>
      <w:r w:rsidR="00411429" w:rsidRPr="004237A5">
        <w:rPr>
          <w:color w:val="000000"/>
          <w:sz w:val="22"/>
          <w:szCs w:val="22"/>
        </w:rPr>
        <w:t>Sono</w:t>
      </w:r>
      <w:r w:rsidR="00446DBA" w:rsidRPr="004237A5">
        <w:rPr>
          <w:color w:val="000000"/>
          <w:sz w:val="22"/>
          <w:szCs w:val="22"/>
        </w:rPr>
        <w:t xml:space="preserve"> caratterizzat</w:t>
      </w:r>
      <w:r w:rsidR="00411429" w:rsidRPr="004237A5">
        <w:rPr>
          <w:color w:val="000000"/>
          <w:sz w:val="22"/>
          <w:szCs w:val="22"/>
        </w:rPr>
        <w:t>e</w:t>
      </w:r>
      <w:r w:rsidR="00446DBA" w:rsidRPr="004237A5">
        <w:rPr>
          <w:color w:val="000000"/>
          <w:sz w:val="22"/>
          <w:szCs w:val="22"/>
        </w:rPr>
        <w:t xml:space="preserve"> da lunghi prolungamenti citoplasmatici </w:t>
      </w:r>
      <w:r w:rsidR="00411429" w:rsidRPr="004237A5">
        <w:rPr>
          <w:color w:val="000000"/>
          <w:sz w:val="22"/>
          <w:szCs w:val="22"/>
        </w:rPr>
        <w:t>utili a</w:t>
      </w:r>
      <w:r w:rsidR="00446DBA" w:rsidRPr="004237A5">
        <w:rPr>
          <w:color w:val="000000"/>
          <w:sz w:val="22"/>
          <w:szCs w:val="22"/>
        </w:rPr>
        <w:t xml:space="preserve"> coprire vaste estensioni </w:t>
      </w:r>
      <w:r w:rsidR="00411429" w:rsidRPr="004237A5">
        <w:rPr>
          <w:color w:val="000000"/>
          <w:sz w:val="22"/>
          <w:szCs w:val="22"/>
        </w:rPr>
        <w:t>al fine di</w:t>
      </w:r>
      <w:r w:rsidR="00446DBA" w:rsidRPr="004237A5">
        <w:rPr>
          <w:color w:val="000000"/>
          <w:sz w:val="22"/>
          <w:szCs w:val="22"/>
        </w:rPr>
        <w:t xml:space="preserve"> captare il più possibile gli antigeni.</w:t>
      </w:r>
    </w:p>
    <w:p w14:paraId="22B242ED" w14:textId="04105304" w:rsidR="00411429" w:rsidRPr="004237A5" w:rsidRDefault="00446DBA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Le APC definite professionali, che presentano l’antigene ai linfociti CD4 (quelle che presentano a CD8 sono definite cellule bersaglio, perché comportano l’effetto diretto sulla cellula che ha</w:t>
      </w:r>
      <w:r w:rsidR="00411429" w:rsidRPr="004237A5">
        <w:rPr>
          <w:color w:val="000000"/>
          <w:sz w:val="22"/>
          <w:szCs w:val="22"/>
        </w:rPr>
        <w:t>nno</w:t>
      </w:r>
      <w:r w:rsidRPr="004237A5">
        <w:rPr>
          <w:color w:val="000000"/>
          <w:sz w:val="22"/>
          <w:szCs w:val="22"/>
        </w:rPr>
        <w:t xml:space="preserve"> legato), possiedono le seguenti caratteristiche</w:t>
      </w:r>
      <w:r w:rsidR="00411429" w:rsidRPr="004237A5">
        <w:rPr>
          <w:color w:val="000000"/>
          <w:sz w:val="22"/>
          <w:szCs w:val="22"/>
        </w:rPr>
        <w:t>:</w:t>
      </w:r>
    </w:p>
    <w:p w14:paraId="75A227D6" w14:textId="77777777" w:rsidR="00446DBA" w:rsidRPr="004237A5" w:rsidRDefault="00446DBA" w:rsidP="004237A5">
      <w:pPr>
        <w:numPr>
          <w:ilvl w:val="0"/>
          <w:numId w:val="15"/>
        </w:num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Esprimono molecole MHC di classe II</w:t>
      </w:r>
    </w:p>
    <w:p w14:paraId="68DF3A2C" w14:textId="3CB6EC99" w:rsidR="00446DBA" w:rsidRPr="004237A5" w:rsidRDefault="00446DBA" w:rsidP="004237A5">
      <w:pPr>
        <w:numPr>
          <w:ilvl w:val="0"/>
          <w:numId w:val="15"/>
        </w:num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Cattura</w:t>
      </w:r>
      <w:r w:rsidR="00411429" w:rsidRPr="004237A5">
        <w:rPr>
          <w:color w:val="000000"/>
          <w:sz w:val="22"/>
          <w:szCs w:val="22"/>
        </w:rPr>
        <w:t>no</w:t>
      </w:r>
      <w:r w:rsidRPr="004237A5">
        <w:rPr>
          <w:color w:val="000000"/>
          <w:sz w:val="22"/>
          <w:szCs w:val="22"/>
        </w:rPr>
        <w:t xml:space="preserve"> dell’antigene ed internalizzazione </w:t>
      </w:r>
    </w:p>
    <w:p w14:paraId="56C78685" w14:textId="0D438A1A" w:rsidR="00446DBA" w:rsidRPr="004237A5" w:rsidRDefault="00446DBA" w:rsidP="004237A5">
      <w:pPr>
        <w:numPr>
          <w:ilvl w:val="0"/>
          <w:numId w:val="15"/>
        </w:num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Processa</w:t>
      </w:r>
      <w:r w:rsidR="00411429" w:rsidRPr="004237A5">
        <w:rPr>
          <w:color w:val="000000"/>
          <w:sz w:val="22"/>
          <w:szCs w:val="22"/>
        </w:rPr>
        <w:t>no</w:t>
      </w:r>
      <w:r w:rsidRPr="004237A5">
        <w:rPr>
          <w:color w:val="000000"/>
          <w:sz w:val="22"/>
          <w:szCs w:val="22"/>
        </w:rPr>
        <w:t xml:space="preserve"> l’antigene</w:t>
      </w:r>
    </w:p>
    <w:p w14:paraId="3F8082AB" w14:textId="0360EE62" w:rsidR="00446DBA" w:rsidRPr="004237A5" w:rsidRDefault="00446DBA" w:rsidP="004237A5">
      <w:pPr>
        <w:numPr>
          <w:ilvl w:val="0"/>
          <w:numId w:val="15"/>
        </w:num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Espr</w:t>
      </w:r>
      <w:r w:rsidR="00411429" w:rsidRPr="004237A5">
        <w:rPr>
          <w:color w:val="000000"/>
          <w:sz w:val="22"/>
          <w:szCs w:val="22"/>
        </w:rPr>
        <w:t>imono i</w:t>
      </w:r>
      <w:r w:rsidRPr="004237A5">
        <w:rPr>
          <w:color w:val="000000"/>
          <w:sz w:val="22"/>
          <w:szCs w:val="22"/>
        </w:rPr>
        <w:t>l complesso antigene-MHC II</w:t>
      </w:r>
    </w:p>
    <w:p w14:paraId="4021B89B" w14:textId="6558C742" w:rsidR="00446DBA" w:rsidRPr="004237A5" w:rsidRDefault="00446DBA" w:rsidP="004237A5">
      <w:pPr>
        <w:numPr>
          <w:ilvl w:val="0"/>
          <w:numId w:val="15"/>
        </w:numPr>
        <w:spacing w:after="160"/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Espr</w:t>
      </w:r>
      <w:r w:rsidR="00411429" w:rsidRPr="004237A5">
        <w:rPr>
          <w:color w:val="000000"/>
          <w:sz w:val="22"/>
          <w:szCs w:val="22"/>
        </w:rPr>
        <w:t>imono</w:t>
      </w:r>
      <w:r w:rsidRPr="004237A5">
        <w:rPr>
          <w:color w:val="000000"/>
          <w:sz w:val="22"/>
          <w:szCs w:val="22"/>
        </w:rPr>
        <w:t xml:space="preserve"> molecole co-</w:t>
      </w:r>
      <w:proofErr w:type="spellStart"/>
      <w:r w:rsidRPr="004237A5">
        <w:rPr>
          <w:color w:val="000000"/>
          <w:sz w:val="22"/>
          <w:szCs w:val="22"/>
        </w:rPr>
        <w:t>stimolatorie</w:t>
      </w:r>
      <w:proofErr w:type="spellEnd"/>
    </w:p>
    <w:p w14:paraId="5C2F779A" w14:textId="5958CA54" w:rsidR="00C621F0" w:rsidRPr="004237A5" w:rsidRDefault="00D76C65" w:rsidP="004237A5">
      <w:p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noProof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8720" behindDoc="0" locked="0" layoutInCell="1" allowOverlap="1" wp14:anchorId="69FBBBF0" wp14:editId="0CC9E91E">
            <wp:simplePos x="0" y="0"/>
            <wp:positionH relativeFrom="margin">
              <wp:posOffset>10783</wp:posOffset>
            </wp:positionH>
            <wp:positionV relativeFrom="paragraph">
              <wp:posOffset>46355</wp:posOffset>
            </wp:positionV>
            <wp:extent cx="4673600" cy="2872740"/>
            <wp:effectExtent l="0" t="0" r="0" b="0"/>
            <wp:wrapSquare wrapText="bothSides"/>
            <wp:docPr id="25" name="Immagine 2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che contiene screensho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3C717" w14:textId="4CC4F42F" w:rsidR="00D76C65" w:rsidRDefault="00D76C65" w:rsidP="004237A5">
      <w:pPr>
        <w:jc w:val="both"/>
        <w:textAlignment w:val="baseline"/>
        <w:rPr>
          <w:color w:val="000000"/>
          <w:sz w:val="22"/>
          <w:szCs w:val="22"/>
        </w:rPr>
      </w:pPr>
    </w:p>
    <w:p w14:paraId="425B7EDE" w14:textId="3D360F86" w:rsidR="00D76C65" w:rsidRDefault="00D76C65" w:rsidP="004237A5">
      <w:pPr>
        <w:jc w:val="both"/>
        <w:textAlignment w:val="baseline"/>
        <w:rPr>
          <w:color w:val="000000"/>
          <w:sz w:val="22"/>
          <w:szCs w:val="22"/>
        </w:rPr>
      </w:pPr>
    </w:p>
    <w:p w14:paraId="781CC484" w14:textId="38CD0F2D" w:rsidR="00D76C65" w:rsidRDefault="00D76C65" w:rsidP="004237A5">
      <w:pPr>
        <w:jc w:val="both"/>
        <w:textAlignment w:val="baseline"/>
        <w:rPr>
          <w:color w:val="000000"/>
          <w:sz w:val="22"/>
          <w:szCs w:val="22"/>
        </w:rPr>
      </w:pPr>
    </w:p>
    <w:p w14:paraId="138A2D42" w14:textId="4849819B" w:rsidR="00D76C65" w:rsidRDefault="00D76C65" w:rsidP="004237A5">
      <w:pPr>
        <w:jc w:val="both"/>
        <w:textAlignment w:val="baseline"/>
        <w:rPr>
          <w:color w:val="000000"/>
          <w:sz w:val="22"/>
          <w:szCs w:val="22"/>
        </w:rPr>
      </w:pPr>
    </w:p>
    <w:p w14:paraId="3DC63D88" w14:textId="6AEF4847" w:rsidR="00D76C65" w:rsidRDefault="00D76C65" w:rsidP="004237A5">
      <w:pPr>
        <w:jc w:val="both"/>
        <w:textAlignment w:val="baseline"/>
        <w:rPr>
          <w:color w:val="000000"/>
          <w:sz w:val="22"/>
          <w:szCs w:val="22"/>
        </w:rPr>
      </w:pPr>
    </w:p>
    <w:p w14:paraId="45E336BD" w14:textId="23F3C1A6" w:rsidR="007928BB" w:rsidRPr="004237A5" w:rsidRDefault="00446DBA" w:rsidP="004237A5">
      <w:p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In generale tutte le APC hanno </w:t>
      </w:r>
      <w:r w:rsidR="00411429" w:rsidRPr="004237A5">
        <w:rPr>
          <w:color w:val="000000"/>
          <w:sz w:val="22"/>
          <w:szCs w:val="22"/>
        </w:rPr>
        <w:t>caratteristiche comuni</w:t>
      </w:r>
      <w:r w:rsidR="00AF4D39" w:rsidRPr="004237A5">
        <w:rPr>
          <w:color w:val="000000"/>
          <w:sz w:val="22"/>
          <w:szCs w:val="22"/>
        </w:rPr>
        <w:t>,</w:t>
      </w:r>
      <w:r w:rsidRPr="004237A5">
        <w:rPr>
          <w:color w:val="000000"/>
          <w:sz w:val="22"/>
          <w:szCs w:val="22"/>
        </w:rPr>
        <w:t xml:space="preserve"> </w:t>
      </w:r>
      <w:r w:rsidR="00AF4D39" w:rsidRPr="004237A5">
        <w:rPr>
          <w:color w:val="000000"/>
          <w:sz w:val="22"/>
          <w:szCs w:val="22"/>
        </w:rPr>
        <w:t xml:space="preserve">ma espresse </w:t>
      </w:r>
      <w:r w:rsidRPr="004237A5">
        <w:rPr>
          <w:color w:val="000000"/>
          <w:sz w:val="22"/>
          <w:szCs w:val="22"/>
        </w:rPr>
        <w:t>in modalità differenti</w:t>
      </w:r>
      <w:r w:rsidR="00C621F0" w:rsidRPr="004237A5">
        <w:rPr>
          <w:color w:val="000000"/>
          <w:sz w:val="22"/>
          <w:szCs w:val="22"/>
        </w:rPr>
        <w:t xml:space="preserve">. </w:t>
      </w:r>
    </w:p>
    <w:p w14:paraId="70B37C36" w14:textId="0BBBFCF0" w:rsidR="00411429" w:rsidRPr="004237A5" w:rsidRDefault="00C621F0" w:rsidP="004237A5">
      <w:p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Tali caratteristiche sono riassunte nella tabella.</w:t>
      </w:r>
    </w:p>
    <w:p w14:paraId="18CB21D7" w14:textId="4DB35089" w:rsidR="00AF4D39" w:rsidRPr="004237A5" w:rsidRDefault="00AF4D39" w:rsidP="004237A5">
      <w:pPr>
        <w:jc w:val="both"/>
        <w:textAlignment w:val="baseline"/>
        <w:rPr>
          <w:color w:val="000000"/>
          <w:sz w:val="22"/>
          <w:szCs w:val="22"/>
        </w:rPr>
      </w:pPr>
    </w:p>
    <w:p w14:paraId="2FF45D6A" w14:textId="5E2EF9C5" w:rsidR="00446DBA" w:rsidRPr="004237A5" w:rsidRDefault="00446DBA" w:rsidP="004237A5">
      <w:pPr>
        <w:jc w:val="both"/>
        <w:rPr>
          <w:sz w:val="22"/>
          <w:szCs w:val="22"/>
        </w:rPr>
      </w:pPr>
    </w:p>
    <w:p w14:paraId="4CB06BF2" w14:textId="77777777" w:rsidR="00446DBA" w:rsidRPr="004237A5" w:rsidRDefault="00446DBA" w:rsidP="004237A5">
      <w:pPr>
        <w:jc w:val="both"/>
        <w:rPr>
          <w:color w:val="000000"/>
          <w:sz w:val="22"/>
          <w:szCs w:val="22"/>
        </w:rPr>
      </w:pPr>
    </w:p>
    <w:p w14:paraId="741A2999" w14:textId="77777777" w:rsidR="00446DBA" w:rsidRPr="004237A5" w:rsidRDefault="00446DBA" w:rsidP="004237A5">
      <w:pPr>
        <w:jc w:val="both"/>
        <w:rPr>
          <w:color w:val="000000"/>
          <w:sz w:val="22"/>
          <w:szCs w:val="22"/>
        </w:rPr>
      </w:pPr>
    </w:p>
    <w:p w14:paraId="54D0882E" w14:textId="77777777" w:rsidR="007928BB" w:rsidRPr="004237A5" w:rsidRDefault="007928BB" w:rsidP="004237A5">
      <w:pPr>
        <w:jc w:val="both"/>
        <w:rPr>
          <w:color w:val="000000"/>
          <w:sz w:val="22"/>
          <w:szCs w:val="22"/>
        </w:rPr>
      </w:pPr>
    </w:p>
    <w:p w14:paraId="5B0B9588" w14:textId="2A7B3C99" w:rsidR="00446DBA" w:rsidRPr="004237A5" w:rsidRDefault="00446DBA" w:rsidP="004237A5">
      <w:pPr>
        <w:jc w:val="both"/>
        <w:rPr>
          <w:sz w:val="22"/>
          <w:szCs w:val="22"/>
        </w:rPr>
      </w:pPr>
      <w:r w:rsidRPr="004237A5">
        <w:rPr>
          <w:color w:val="000000"/>
          <w:sz w:val="22"/>
          <w:szCs w:val="22"/>
        </w:rPr>
        <w:t>Le principali APC presenti nel nostro organismo sono:</w:t>
      </w:r>
    </w:p>
    <w:p w14:paraId="66746D67" w14:textId="3E60E49C" w:rsidR="00446DBA" w:rsidRPr="004237A5" w:rsidRDefault="00446DBA" w:rsidP="004237A5">
      <w:pPr>
        <w:numPr>
          <w:ilvl w:val="0"/>
          <w:numId w:val="14"/>
        </w:num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b/>
          <w:bCs/>
          <w:color w:val="000000"/>
          <w:sz w:val="22"/>
          <w:szCs w:val="22"/>
        </w:rPr>
        <w:t>Cellule dendritiche</w:t>
      </w:r>
      <w:r w:rsidRPr="004237A5">
        <w:rPr>
          <w:color w:val="000000"/>
          <w:sz w:val="22"/>
          <w:szCs w:val="22"/>
        </w:rPr>
        <w:t>:</w:t>
      </w:r>
      <w:r w:rsidR="005E32EB" w:rsidRPr="004237A5">
        <w:rPr>
          <w:color w:val="000000"/>
          <w:sz w:val="22"/>
          <w:szCs w:val="22"/>
        </w:rPr>
        <w:t xml:space="preserve"> s</w:t>
      </w:r>
      <w:r w:rsidR="007928BB" w:rsidRPr="004237A5">
        <w:rPr>
          <w:color w:val="000000"/>
          <w:sz w:val="22"/>
          <w:szCs w:val="22"/>
        </w:rPr>
        <w:t>i differenziano a partire dalle cellule di Langerhans</w:t>
      </w:r>
      <w:r w:rsidR="005E32EB" w:rsidRPr="004237A5">
        <w:rPr>
          <w:color w:val="000000"/>
          <w:sz w:val="22"/>
          <w:szCs w:val="22"/>
        </w:rPr>
        <w:t xml:space="preserve"> presenti nella cute, che sono molto efficaci nel captare l’antigene, mediante processi di endocitosi e fagocitosi. </w:t>
      </w:r>
      <w:r w:rsidRPr="004237A5">
        <w:rPr>
          <w:color w:val="000000"/>
          <w:sz w:val="22"/>
          <w:szCs w:val="22"/>
        </w:rPr>
        <w:t>Sono le APC migliori perché esprimono costitutivamente alte quantità di MHC II e di molecole co-</w:t>
      </w:r>
      <w:proofErr w:type="spellStart"/>
      <w:r w:rsidRPr="004237A5">
        <w:rPr>
          <w:color w:val="000000"/>
          <w:sz w:val="22"/>
          <w:szCs w:val="22"/>
        </w:rPr>
        <w:t>stimolatorie</w:t>
      </w:r>
      <w:proofErr w:type="spellEnd"/>
      <w:r w:rsidRPr="004237A5">
        <w:rPr>
          <w:color w:val="000000"/>
          <w:sz w:val="22"/>
          <w:szCs w:val="22"/>
        </w:rPr>
        <w:t>.</w:t>
      </w:r>
    </w:p>
    <w:p w14:paraId="1B95F0F2" w14:textId="501D72F9" w:rsidR="00446DBA" w:rsidRPr="004237A5" w:rsidRDefault="00446DBA" w:rsidP="004237A5">
      <w:pPr>
        <w:numPr>
          <w:ilvl w:val="0"/>
          <w:numId w:val="14"/>
        </w:num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b/>
          <w:bCs/>
          <w:color w:val="000000"/>
          <w:sz w:val="22"/>
          <w:szCs w:val="22"/>
        </w:rPr>
        <w:t xml:space="preserve">Macrofagi: </w:t>
      </w:r>
      <w:r w:rsidR="005E32EB" w:rsidRPr="004237A5">
        <w:rPr>
          <w:color w:val="000000"/>
          <w:sz w:val="22"/>
          <w:szCs w:val="22"/>
        </w:rPr>
        <w:t xml:space="preserve">captano gli Ag tramite </w:t>
      </w:r>
      <w:r w:rsidRPr="004237A5">
        <w:rPr>
          <w:color w:val="000000"/>
          <w:sz w:val="22"/>
          <w:szCs w:val="22"/>
        </w:rPr>
        <w:t xml:space="preserve">fagocitosi e </w:t>
      </w:r>
      <w:r w:rsidR="00E16B8A" w:rsidRPr="004237A5">
        <w:rPr>
          <w:color w:val="000000"/>
          <w:sz w:val="22"/>
          <w:szCs w:val="22"/>
        </w:rPr>
        <w:t>si possono trovare</w:t>
      </w:r>
      <w:r w:rsidRPr="004237A5">
        <w:rPr>
          <w:color w:val="000000"/>
          <w:sz w:val="22"/>
          <w:szCs w:val="22"/>
        </w:rPr>
        <w:t xml:space="preserve"> in fase </w:t>
      </w:r>
      <w:proofErr w:type="spellStart"/>
      <w:r w:rsidRPr="004237A5">
        <w:rPr>
          <w:color w:val="000000"/>
          <w:sz w:val="22"/>
          <w:szCs w:val="22"/>
        </w:rPr>
        <w:t>resting</w:t>
      </w:r>
      <w:proofErr w:type="spellEnd"/>
      <w:r w:rsidRPr="004237A5">
        <w:rPr>
          <w:color w:val="000000"/>
          <w:sz w:val="22"/>
          <w:szCs w:val="22"/>
        </w:rPr>
        <w:t xml:space="preserve"> o </w:t>
      </w:r>
      <w:r w:rsidR="00E16B8A" w:rsidRPr="004237A5">
        <w:rPr>
          <w:color w:val="000000"/>
          <w:sz w:val="22"/>
          <w:szCs w:val="22"/>
        </w:rPr>
        <w:t xml:space="preserve">in fase </w:t>
      </w:r>
      <w:r w:rsidRPr="004237A5">
        <w:rPr>
          <w:color w:val="000000"/>
          <w:sz w:val="22"/>
          <w:szCs w:val="22"/>
        </w:rPr>
        <w:t xml:space="preserve">attivata. </w:t>
      </w:r>
      <w:r w:rsidR="00E16B8A" w:rsidRPr="004237A5">
        <w:rPr>
          <w:color w:val="000000"/>
          <w:sz w:val="22"/>
          <w:szCs w:val="22"/>
        </w:rPr>
        <w:t xml:space="preserve">Nella fase </w:t>
      </w:r>
      <w:proofErr w:type="spellStart"/>
      <w:r w:rsidR="00E16B8A" w:rsidRPr="004237A5">
        <w:rPr>
          <w:color w:val="000000"/>
          <w:sz w:val="22"/>
          <w:szCs w:val="22"/>
        </w:rPr>
        <w:t>resting</w:t>
      </w:r>
      <w:proofErr w:type="spellEnd"/>
      <w:r w:rsidR="00E16B8A" w:rsidRPr="004237A5">
        <w:rPr>
          <w:color w:val="000000"/>
          <w:sz w:val="22"/>
          <w:szCs w:val="22"/>
        </w:rPr>
        <w:t xml:space="preserve"> esprimono</w:t>
      </w:r>
      <w:r w:rsidRPr="004237A5">
        <w:rPr>
          <w:color w:val="000000"/>
          <w:sz w:val="22"/>
          <w:szCs w:val="22"/>
        </w:rPr>
        <w:t xml:space="preserve"> basse quantità di MHC II</w:t>
      </w:r>
      <w:r w:rsidR="00E16B8A" w:rsidRPr="004237A5">
        <w:rPr>
          <w:color w:val="000000"/>
          <w:sz w:val="22"/>
          <w:szCs w:val="22"/>
        </w:rPr>
        <w:t>,</w:t>
      </w:r>
      <w:r w:rsidRPr="004237A5">
        <w:rPr>
          <w:color w:val="000000"/>
          <w:sz w:val="22"/>
          <w:szCs w:val="22"/>
        </w:rPr>
        <w:t xml:space="preserve"> </w:t>
      </w:r>
      <w:r w:rsidR="00E16B8A" w:rsidRPr="004237A5">
        <w:rPr>
          <w:color w:val="000000"/>
          <w:sz w:val="22"/>
          <w:szCs w:val="22"/>
        </w:rPr>
        <w:t xml:space="preserve">che aumenta quando entrano in fase </w:t>
      </w:r>
      <w:r w:rsidRPr="004237A5">
        <w:rPr>
          <w:color w:val="000000"/>
          <w:sz w:val="22"/>
          <w:szCs w:val="22"/>
        </w:rPr>
        <w:t>attivat</w:t>
      </w:r>
      <w:r w:rsidR="00E16B8A" w:rsidRPr="004237A5">
        <w:rPr>
          <w:color w:val="000000"/>
          <w:sz w:val="22"/>
          <w:szCs w:val="22"/>
        </w:rPr>
        <w:t>a</w:t>
      </w:r>
      <w:r w:rsidRPr="004237A5">
        <w:rPr>
          <w:color w:val="000000"/>
          <w:sz w:val="22"/>
          <w:szCs w:val="22"/>
        </w:rPr>
        <w:t>. Per esempio, l’IFN-γ induce l’attivazione dei macrofagi incrementando anche la loro funzione di presentazione dell’antigene; inoltre</w:t>
      </w:r>
      <w:r w:rsidR="00E16B8A" w:rsidRPr="004237A5">
        <w:rPr>
          <w:color w:val="000000"/>
          <w:sz w:val="22"/>
          <w:szCs w:val="22"/>
        </w:rPr>
        <w:t xml:space="preserve">, </w:t>
      </w:r>
      <w:r w:rsidRPr="004237A5">
        <w:rPr>
          <w:color w:val="000000"/>
          <w:sz w:val="22"/>
          <w:szCs w:val="22"/>
        </w:rPr>
        <w:t xml:space="preserve">nella fase di </w:t>
      </w:r>
      <w:proofErr w:type="spellStart"/>
      <w:r w:rsidRPr="004237A5">
        <w:rPr>
          <w:color w:val="000000"/>
          <w:sz w:val="22"/>
          <w:szCs w:val="22"/>
        </w:rPr>
        <w:t>resting</w:t>
      </w:r>
      <w:proofErr w:type="spellEnd"/>
      <w:r w:rsidRPr="004237A5">
        <w:rPr>
          <w:color w:val="000000"/>
          <w:sz w:val="22"/>
          <w:szCs w:val="22"/>
        </w:rPr>
        <w:t xml:space="preserve"> non esprimono B7, che v</w:t>
      </w:r>
      <w:r w:rsidR="00097994" w:rsidRPr="004237A5">
        <w:rPr>
          <w:color w:val="000000"/>
          <w:sz w:val="22"/>
          <w:szCs w:val="22"/>
        </w:rPr>
        <w:t>iene invece</w:t>
      </w:r>
      <w:r w:rsidRPr="004237A5">
        <w:rPr>
          <w:color w:val="000000"/>
          <w:sz w:val="22"/>
          <w:szCs w:val="22"/>
        </w:rPr>
        <w:t xml:space="preserve"> up-regolat</w:t>
      </w:r>
      <w:r w:rsidR="00097994" w:rsidRPr="004237A5">
        <w:rPr>
          <w:color w:val="000000"/>
          <w:sz w:val="22"/>
          <w:szCs w:val="22"/>
        </w:rPr>
        <w:t>o</w:t>
      </w:r>
      <w:r w:rsidRPr="004237A5">
        <w:rPr>
          <w:color w:val="000000"/>
          <w:sz w:val="22"/>
          <w:szCs w:val="22"/>
        </w:rPr>
        <w:t xml:space="preserve"> a seguito d</w:t>
      </w:r>
      <w:r w:rsidR="00097994" w:rsidRPr="004237A5">
        <w:rPr>
          <w:color w:val="000000"/>
          <w:sz w:val="22"/>
          <w:szCs w:val="22"/>
        </w:rPr>
        <w:t>el passaggio in fase attivata</w:t>
      </w:r>
      <w:r w:rsidRPr="004237A5">
        <w:rPr>
          <w:color w:val="000000"/>
          <w:sz w:val="22"/>
          <w:szCs w:val="22"/>
        </w:rPr>
        <w:t xml:space="preserve">. </w:t>
      </w:r>
      <w:r w:rsidR="00097994" w:rsidRPr="004237A5">
        <w:rPr>
          <w:color w:val="000000"/>
          <w:sz w:val="22"/>
          <w:szCs w:val="22"/>
        </w:rPr>
        <w:t xml:space="preserve">Agiscono quindi meglio </w:t>
      </w:r>
      <w:r w:rsidR="000C2D8D" w:rsidRPr="004237A5">
        <w:rPr>
          <w:color w:val="000000"/>
          <w:sz w:val="22"/>
          <w:szCs w:val="22"/>
        </w:rPr>
        <w:t>nella forma attivata, in particolare con le cellule effettrici T e di memoria (</w:t>
      </w:r>
      <w:r w:rsidRPr="004237A5">
        <w:rPr>
          <w:color w:val="000000"/>
          <w:sz w:val="22"/>
          <w:szCs w:val="22"/>
        </w:rPr>
        <w:t>le cellule naïve sono più difficili da attivare rispetto alle cellule della memoria, e i macrofagi non sono abbastanza forti per far</w:t>
      </w:r>
      <w:r w:rsidR="000C2D8D" w:rsidRPr="004237A5">
        <w:rPr>
          <w:color w:val="000000"/>
          <w:sz w:val="22"/>
          <w:szCs w:val="22"/>
        </w:rPr>
        <w:t>lo)</w:t>
      </w:r>
      <w:r w:rsidRPr="004237A5">
        <w:rPr>
          <w:color w:val="000000"/>
          <w:sz w:val="22"/>
          <w:szCs w:val="22"/>
        </w:rPr>
        <w:t>.</w:t>
      </w:r>
    </w:p>
    <w:p w14:paraId="6249364C" w14:textId="77777777" w:rsidR="00446DBA" w:rsidRPr="004237A5" w:rsidRDefault="00446DBA" w:rsidP="004237A5">
      <w:pPr>
        <w:numPr>
          <w:ilvl w:val="0"/>
          <w:numId w:val="14"/>
        </w:numPr>
        <w:spacing w:after="160"/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b/>
          <w:bCs/>
          <w:color w:val="000000"/>
          <w:sz w:val="22"/>
          <w:szCs w:val="22"/>
        </w:rPr>
        <w:t>Linfociti B</w:t>
      </w:r>
      <w:r w:rsidRPr="004237A5">
        <w:rPr>
          <w:color w:val="000000"/>
          <w:sz w:val="22"/>
          <w:szCs w:val="22"/>
        </w:rPr>
        <w:t xml:space="preserve">: sono in grado di captare gli antigeni mediante gli anticorpi di membrana con una maggior specificità per poi venir endocitati. Sono in grado, sia nella fase </w:t>
      </w:r>
      <w:proofErr w:type="spellStart"/>
      <w:r w:rsidRPr="004237A5">
        <w:rPr>
          <w:color w:val="000000"/>
          <w:sz w:val="22"/>
          <w:szCs w:val="22"/>
        </w:rPr>
        <w:t>resting</w:t>
      </w:r>
      <w:proofErr w:type="spellEnd"/>
      <w:r w:rsidRPr="004237A5">
        <w:rPr>
          <w:color w:val="000000"/>
          <w:sz w:val="22"/>
          <w:szCs w:val="22"/>
        </w:rPr>
        <w:t xml:space="preserve"> che attivata, di esprimere MHC II, ma </w:t>
      </w:r>
      <w:r w:rsidRPr="004237A5">
        <w:rPr>
          <w:color w:val="000000"/>
          <w:sz w:val="22"/>
          <w:szCs w:val="22"/>
          <w:u w:val="single"/>
        </w:rPr>
        <w:t>esprimono le molecole co-</w:t>
      </w:r>
      <w:proofErr w:type="spellStart"/>
      <w:r w:rsidRPr="004237A5">
        <w:rPr>
          <w:color w:val="000000"/>
          <w:sz w:val="22"/>
          <w:szCs w:val="22"/>
          <w:u w:val="single"/>
        </w:rPr>
        <w:t>stimolatorie</w:t>
      </w:r>
      <w:proofErr w:type="spellEnd"/>
      <w:r w:rsidRPr="004237A5">
        <w:rPr>
          <w:color w:val="000000"/>
          <w:sz w:val="22"/>
          <w:szCs w:val="22"/>
          <w:u w:val="single"/>
        </w:rPr>
        <w:t xml:space="preserve"> solo a seguito dell’attivazione</w:t>
      </w:r>
      <w:r w:rsidRPr="004237A5">
        <w:rPr>
          <w:color w:val="000000"/>
          <w:sz w:val="22"/>
          <w:szCs w:val="22"/>
        </w:rPr>
        <w:t>. I linfociti B attivati sono capaci di presentare l’antigene anche ai linfociti T naïve. </w:t>
      </w:r>
    </w:p>
    <w:p w14:paraId="2DB4FF44" w14:textId="1E34CE6E" w:rsidR="00446DBA" w:rsidRPr="004237A5" w:rsidRDefault="000C2D8D" w:rsidP="004237A5">
      <w:p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La p</w:t>
      </w:r>
      <w:r w:rsidR="00446DBA" w:rsidRPr="004237A5">
        <w:rPr>
          <w:color w:val="000000"/>
          <w:sz w:val="22"/>
          <w:szCs w:val="22"/>
        </w:rPr>
        <w:t>resentazione dell’antigene seg</w:t>
      </w:r>
      <w:r w:rsidRPr="004237A5">
        <w:rPr>
          <w:color w:val="000000"/>
          <w:sz w:val="22"/>
          <w:szCs w:val="22"/>
        </w:rPr>
        <w:t>ue</w:t>
      </w:r>
      <w:r w:rsidR="00446DBA" w:rsidRPr="004237A5">
        <w:rPr>
          <w:color w:val="000000"/>
          <w:sz w:val="22"/>
          <w:szCs w:val="22"/>
        </w:rPr>
        <w:t xml:space="preserve"> vari step:</w:t>
      </w:r>
    </w:p>
    <w:p w14:paraId="13B19EA2" w14:textId="24710143" w:rsidR="00446DBA" w:rsidRPr="004237A5" w:rsidRDefault="00446DBA" w:rsidP="004237A5">
      <w:pPr>
        <w:pStyle w:val="Paragrafoelenco"/>
        <w:numPr>
          <w:ilvl w:val="0"/>
          <w:numId w:val="17"/>
        </w:numPr>
        <w:spacing w:after="1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it-IT"/>
        </w:rPr>
      </w:pPr>
      <w:r w:rsidRPr="004237A5">
        <w:rPr>
          <w:rFonts w:ascii="Times New Roman" w:eastAsia="Times New Roman" w:hAnsi="Times New Roman" w:cs="Times New Roman"/>
          <w:color w:val="000000"/>
          <w:lang w:eastAsia="it-IT"/>
        </w:rPr>
        <w:t>Cattura dell’antigene. Questa può avvenire in modi differenti a seconda dei tipi di recettori e meccanismi che utilizzano</w:t>
      </w:r>
      <w:r w:rsidR="000C2D8D" w:rsidRPr="004237A5">
        <w:rPr>
          <w:rFonts w:ascii="Times New Roman" w:eastAsia="Times New Roman" w:hAnsi="Times New Roman" w:cs="Times New Roman"/>
          <w:color w:val="000000"/>
          <w:lang w:eastAsia="it-IT"/>
        </w:rPr>
        <w:t xml:space="preserve">, </w:t>
      </w:r>
      <w:r w:rsidRPr="004237A5">
        <w:rPr>
          <w:rFonts w:ascii="Times New Roman" w:eastAsia="Times New Roman" w:hAnsi="Times New Roman" w:cs="Times New Roman"/>
          <w:color w:val="000000"/>
          <w:lang w:eastAsia="it-IT"/>
        </w:rPr>
        <w:t xml:space="preserve">per pinocitosi, fagocitosi o legame con un recettore specifico </w:t>
      </w:r>
      <w:r w:rsidR="000C2D8D" w:rsidRPr="004237A5">
        <w:rPr>
          <w:rFonts w:ascii="Times New Roman" w:eastAsia="Times New Roman" w:hAnsi="Times New Roman" w:cs="Times New Roman"/>
          <w:color w:val="000000"/>
          <w:lang w:eastAsia="it-IT"/>
        </w:rPr>
        <w:t>come</w:t>
      </w:r>
      <w:r w:rsidRPr="004237A5">
        <w:rPr>
          <w:rFonts w:ascii="Times New Roman" w:eastAsia="Times New Roman" w:hAnsi="Times New Roman" w:cs="Times New Roman"/>
          <w:color w:val="000000"/>
          <w:lang w:eastAsia="it-IT"/>
        </w:rPr>
        <w:t xml:space="preserve"> le Ig</w:t>
      </w:r>
      <w:r w:rsidR="000C2D8D" w:rsidRPr="004237A5">
        <w:rPr>
          <w:rFonts w:ascii="Times New Roman" w:eastAsia="Times New Roman" w:hAnsi="Times New Roman" w:cs="Times New Roman"/>
          <w:color w:val="000000"/>
          <w:lang w:eastAsia="it-IT"/>
        </w:rPr>
        <w:t xml:space="preserve">; </w:t>
      </w:r>
      <w:proofErr w:type="gramStart"/>
      <w:r w:rsidRPr="004237A5">
        <w:rPr>
          <w:rFonts w:ascii="Times New Roman" w:eastAsia="Times New Roman" w:hAnsi="Times New Roman" w:cs="Times New Roman"/>
          <w:color w:val="000000"/>
          <w:lang w:eastAsia="it-IT"/>
        </w:rPr>
        <w:t>ad esempio</w:t>
      </w:r>
      <w:proofErr w:type="gramEnd"/>
      <w:r w:rsidRPr="004237A5">
        <w:rPr>
          <w:rFonts w:ascii="Times New Roman" w:eastAsia="Times New Roman" w:hAnsi="Times New Roman" w:cs="Times New Roman"/>
          <w:color w:val="000000"/>
          <w:lang w:eastAsia="it-IT"/>
        </w:rPr>
        <w:t xml:space="preserve"> i linfociti B legano l’antigene attraverso il recettore specifico BCR.</w:t>
      </w:r>
    </w:p>
    <w:p w14:paraId="201F78E8" w14:textId="3246D2F0" w:rsidR="00446DBA" w:rsidRPr="004237A5" w:rsidRDefault="00446DBA" w:rsidP="004237A5">
      <w:pPr>
        <w:pStyle w:val="Paragrafoelenco"/>
        <w:numPr>
          <w:ilvl w:val="0"/>
          <w:numId w:val="17"/>
        </w:numPr>
        <w:spacing w:after="1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it-IT"/>
        </w:rPr>
      </w:pPr>
      <w:r w:rsidRPr="004237A5">
        <w:rPr>
          <w:rFonts w:ascii="Times New Roman" w:eastAsia="Times New Roman" w:hAnsi="Times New Roman" w:cs="Times New Roman"/>
          <w:color w:val="000000"/>
          <w:lang w:eastAsia="it-IT"/>
        </w:rPr>
        <w:t>Processazione dell’Ag, con la scissione proteolitica negli endolisosomi e il legame con MHC classe II</w:t>
      </w:r>
      <w:r w:rsidR="00D76C65">
        <w:rPr>
          <w:rFonts w:ascii="Times New Roman" w:eastAsia="Times New Roman" w:hAnsi="Times New Roman" w:cs="Times New Roman"/>
          <w:color w:val="000000"/>
          <w:lang w:eastAsia="it-IT"/>
        </w:rPr>
        <w:t>.</w:t>
      </w:r>
    </w:p>
    <w:p w14:paraId="726E1DC4" w14:textId="6217084B" w:rsidR="00446DBA" w:rsidRPr="004237A5" w:rsidRDefault="00446DBA" w:rsidP="004237A5">
      <w:pPr>
        <w:pStyle w:val="Paragrafoelenco"/>
        <w:numPr>
          <w:ilvl w:val="0"/>
          <w:numId w:val="17"/>
        </w:numPr>
        <w:spacing w:after="1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it-IT"/>
        </w:rPr>
      </w:pPr>
      <w:r w:rsidRPr="004237A5">
        <w:rPr>
          <w:rFonts w:ascii="Times New Roman" w:eastAsia="Times New Roman" w:hAnsi="Times New Roman" w:cs="Times New Roman"/>
          <w:color w:val="000000"/>
          <w:lang w:eastAsia="it-IT"/>
        </w:rPr>
        <w:t>Trasporto ed espressione del complesso Ag/MHC II in membrana</w:t>
      </w:r>
      <w:r w:rsidR="00D76C65">
        <w:rPr>
          <w:rFonts w:ascii="Times New Roman" w:eastAsia="Times New Roman" w:hAnsi="Times New Roman" w:cs="Times New Roman"/>
          <w:color w:val="000000"/>
          <w:lang w:eastAsia="it-IT"/>
        </w:rPr>
        <w:t>.</w:t>
      </w:r>
    </w:p>
    <w:p w14:paraId="2F0956B1" w14:textId="1B76B5A4" w:rsidR="00D76C65" w:rsidRPr="00D76C65" w:rsidRDefault="00446DBA" w:rsidP="00D76C65">
      <w:pPr>
        <w:pStyle w:val="Paragrafoelenco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it-IT"/>
        </w:rPr>
      </w:pPr>
      <w:r w:rsidRPr="004237A5">
        <w:rPr>
          <w:rFonts w:ascii="Times New Roman" w:eastAsia="Times New Roman" w:hAnsi="Times New Roman" w:cs="Times New Roman"/>
          <w:color w:val="000000"/>
          <w:lang w:eastAsia="it-IT"/>
        </w:rPr>
        <w:t xml:space="preserve">Espressione delle molecole </w:t>
      </w:r>
      <w:proofErr w:type="spellStart"/>
      <w:r w:rsidRPr="004237A5">
        <w:rPr>
          <w:rFonts w:ascii="Times New Roman" w:eastAsia="Times New Roman" w:hAnsi="Times New Roman" w:cs="Times New Roman"/>
          <w:color w:val="000000"/>
          <w:lang w:eastAsia="it-IT"/>
        </w:rPr>
        <w:t>costimolatorie</w:t>
      </w:r>
      <w:proofErr w:type="spellEnd"/>
      <w:r w:rsidRPr="004237A5">
        <w:rPr>
          <w:rFonts w:ascii="Times New Roman" w:eastAsia="Times New Roman" w:hAnsi="Times New Roman" w:cs="Times New Roman"/>
          <w:color w:val="000000"/>
          <w:lang w:eastAsia="it-IT"/>
        </w:rPr>
        <w:t>, come B7-1 e B7-2 (la maggior parte di APC è in grado di produrre citochine)</w:t>
      </w:r>
      <w:r w:rsidR="00D76C65">
        <w:rPr>
          <w:rFonts w:ascii="Times New Roman" w:eastAsia="Times New Roman" w:hAnsi="Times New Roman" w:cs="Times New Roman"/>
          <w:color w:val="000000"/>
          <w:lang w:eastAsia="it-IT"/>
        </w:rPr>
        <w:t>.</w:t>
      </w:r>
    </w:p>
    <w:p w14:paraId="0C4A902E" w14:textId="4C3A8A2A" w:rsidR="00446DBA" w:rsidRPr="00D76C65" w:rsidRDefault="00446DBA" w:rsidP="00D76C65">
      <w:pPr>
        <w:spacing w:after="120"/>
        <w:jc w:val="center"/>
        <w:rPr>
          <w:sz w:val="22"/>
          <w:szCs w:val="22"/>
        </w:rPr>
      </w:pPr>
      <w:r w:rsidRPr="004237A5">
        <w:rPr>
          <w:b/>
          <w:bCs/>
          <w:color w:val="000000"/>
          <w:sz w:val="22"/>
          <w:szCs w:val="22"/>
          <w:u w:val="single"/>
        </w:rPr>
        <w:lastRenderedPageBreak/>
        <w:t>CELLULE DENDRITICHE</w:t>
      </w:r>
    </w:p>
    <w:p w14:paraId="41B5B492" w14:textId="33E0A82A" w:rsidR="003B79EE" w:rsidRPr="004237A5" w:rsidRDefault="00D76C65" w:rsidP="004237A5">
      <w:pPr>
        <w:jc w:val="both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142AA9B3" wp14:editId="2E636445">
            <wp:simplePos x="0" y="0"/>
            <wp:positionH relativeFrom="margin">
              <wp:posOffset>0</wp:posOffset>
            </wp:positionH>
            <wp:positionV relativeFrom="paragraph">
              <wp:posOffset>876010</wp:posOffset>
            </wp:positionV>
            <wp:extent cx="6120130" cy="3063875"/>
            <wp:effectExtent l="0" t="0" r="0" b="0"/>
            <wp:wrapTopAndBottom/>
            <wp:docPr id="1933510315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10315" name="Immagine 1" descr="Immagine che contiene testo, schermata, Carattere, numer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DBA" w:rsidRPr="004237A5">
        <w:rPr>
          <w:color w:val="000000"/>
          <w:sz w:val="22"/>
          <w:szCs w:val="22"/>
        </w:rPr>
        <w:t>Sono cellule di origine midollare, derivano dal progenitore da cui originano i monociti e sono caratterizzati da una morfologia particolare con un corpo cellulare stellato con molte estroflessioni. Sono presenti in numerosi tessuti linfoidi e non, come nella cute e nei tratti gastroenterico e respiratorio. Hanno una capacità di captazione e presentazione dell’antigene molto elevata ed esprimono MHC II e molecole co-</w:t>
      </w:r>
      <w:proofErr w:type="spellStart"/>
      <w:r w:rsidR="00446DBA" w:rsidRPr="004237A5">
        <w:rPr>
          <w:color w:val="000000"/>
          <w:sz w:val="22"/>
          <w:szCs w:val="22"/>
        </w:rPr>
        <w:t>stimolatorie</w:t>
      </w:r>
      <w:proofErr w:type="spellEnd"/>
      <w:r w:rsidR="00446DBA" w:rsidRPr="004237A5">
        <w:rPr>
          <w:color w:val="000000"/>
          <w:sz w:val="22"/>
          <w:szCs w:val="22"/>
        </w:rPr>
        <w:t>, che sono coinvolte nella captazione dell’antigene e nella loro localizzazione periferica.</w:t>
      </w:r>
    </w:p>
    <w:p w14:paraId="77C48A2D" w14:textId="4CA018B7" w:rsidR="00446DBA" w:rsidRPr="004237A5" w:rsidRDefault="00D76C65" w:rsidP="004237A5">
      <w:pPr>
        <w:jc w:val="both"/>
        <w:rPr>
          <w:color w:val="000000"/>
          <w:sz w:val="22"/>
          <w:szCs w:val="22"/>
        </w:rPr>
      </w:pPr>
      <w:r w:rsidRPr="004237A5">
        <w:rPr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43E78CAE" wp14:editId="37B7864C">
            <wp:simplePos x="0" y="0"/>
            <wp:positionH relativeFrom="margin">
              <wp:posOffset>1752600</wp:posOffset>
            </wp:positionH>
            <wp:positionV relativeFrom="paragraph">
              <wp:posOffset>3329940</wp:posOffset>
            </wp:positionV>
            <wp:extent cx="4366260" cy="1349375"/>
            <wp:effectExtent l="0" t="0" r="0" b="0"/>
            <wp:wrapSquare wrapText="bothSides"/>
            <wp:docPr id="1039870759" name="Immagine 103987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48"/>
                    <a:stretch/>
                  </pic:blipFill>
                  <pic:spPr bwMode="auto">
                    <a:xfrm>
                      <a:off x="0" y="0"/>
                      <a:ext cx="436626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DBA" w:rsidRPr="004237A5">
        <w:rPr>
          <w:sz w:val="22"/>
          <w:szCs w:val="22"/>
        </w:rPr>
        <w:br/>
      </w:r>
      <w:r w:rsidR="00446DBA" w:rsidRPr="004237A5">
        <w:rPr>
          <w:color w:val="000000"/>
          <w:sz w:val="22"/>
          <w:szCs w:val="22"/>
        </w:rPr>
        <w:t>Esse esprimono una serie di recettori di membrana che mediano le loro funzioni, tra i più importanti il CD11C</w:t>
      </w:r>
      <w:r w:rsidR="000C2D8D" w:rsidRPr="004237A5">
        <w:rPr>
          <w:color w:val="000000"/>
          <w:sz w:val="22"/>
          <w:szCs w:val="22"/>
        </w:rPr>
        <w:t>,</w:t>
      </w:r>
      <w:r w:rsidR="00446DBA" w:rsidRPr="004237A5">
        <w:rPr>
          <w:color w:val="000000"/>
          <w:sz w:val="22"/>
          <w:szCs w:val="22"/>
        </w:rPr>
        <w:t xml:space="preserve"> e producono elevate concentrazioni di </w:t>
      </w:r>
      <w:r w:rsidR="000C2D8D" w:rsidRPr="004237A5">
        <w:rPr>
          <w:color w:val="000000"/>
          <w:sz w:val="22"/>
          <w:szCs w:val="22"/>
        </w:rPr>
        <w:t>IL</w:t>
      </w:r>
      <w:r w:rsidR="00446DBA" w:rsidRPr="004237A5">
        <w:rPr>
          <w:color w:val="000000"/>
          <w:sz w:val="22"/>
          <w:szCs w:val="22"/>
        </w:rPr>
        <w:t xml:space="preserve"> 12. </w:t>
      </w:r>
    </w:p>
    <w:p w14:paraId="49F5D263" w14:textId="294879CC" w:rsidR="00446DBA" w:rsidRPr="004237A5" w:rsidRDefault="00D76C65" w:rsidP="004237A5">
      <w:pPr>
        <w:spacing w:after="240"/>
        <w:jc w:val="both"/>
        <w:rPr>
          <w:color w:val="000000"/>
          <w:sz w:val="22"/>
          <w:szCs w:val="22"/>
        </w:rPr>
      </w:pPr>
      <w:r w:rsidRPr="004237A5"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532130E7" wp14:editId="18DE86DD">
            <wp:simplePos x="0" y="0"/>
            <wp:positionH relativeFrom="margin">
              <wp:posOffset>2688590</wp:posOffset>
            </wp:positionH>
            <wp:positionV relativeFrom="paragraph">
              <wp:posOffset>508709</wp:posOffset>
            </wp:positionV>
            <wp:extent cx="3477895" cy="1462405"/>
            <wp:effectExtent l="0" t="0" r="0" b="0"/>
            <wp:wrapSquare wrapText="bothSides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9" t="54305" r="4954"/>
                    <a:stretch/>
                  </pic:blipFill>
                  <pic:spPr bwMode="auto">
                    <a:xfrm>
                      <a:off x="0" y="0"/>
                      <a:ext cx="347789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DBA" w:rsidRPr="004237A5">
        <w:rPr>
          <w:color w:val="000000"/>
          <w:sz w:val="22"/>
          <w:szCs w:val="22"/>
        </w:rPr>
        <w:t xml:space="preserve">La maggior parte delle cellule dendritiche presenti nella cute, nelle mucose e nel parenchima degli organi risponde ai microbi migrando verso i linfonodi, per presentare gli antigeni ai linfociti T. Una sottopopolazione di DC, le cellule dendritiche </w:t>
      </w:r>
      <w:proofErr w:type="spellStart"/>
      <w:r w:rsidR="00446DBA" w:rsidRPr="004237A5">
        <w:rPr>
          <w:b/>
          <w:bCs/>
          <w:color w:val="000000"/>
          <w:sz w:val="22"/>
          <w:szCs w:val="22"/>
        </w:rPr>
        <w:t>plasmacitoidi</w:t>
      </w:r>
      <w:proofErr w:type="spellEnd"/>
      <w:r w:rsidR="00446DBA" w:rsidRPr="004237A5">
        <w:rPr>
          <w:color w:val="000000"/>
          <w:sz w:val="22"/>
          <w:szCs w:val="22"/>
        </w:rPr>
        <w:t>, è specializzata nella risposta contro le infezioni virali, in quanto riconoscono gli acidi nucleici dei virus. Esprimono il CD123 al posto del CD11c e producono IFN di primo tipo in risposta.</w:t>
      </w:r>
    </w:p>
    <w:p w14:paraId="6F90C6DC" w14:textId="5398E6DD" w:rsidR="00DE69E2" w:rsidRPr="004237A5" w:rsidRDefault="00446DBA" w:rsidP="00D76C65">
      <w:pPr>
        <w:spacing w:after="120"/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Le cellule dendritiche più presenti, invece, sono le più importanti APC per l’attivazione dei linfociti T </w:t>
      </w:r>
      <w:proofErr w:type="spellStart"/>
      <w:r w:rsidRPr="004237A5">
        <w:rPr>
          <w:color w:val="000000"/>
          <w:sz w:val="22"/>
          <w:szCs w:val="22"/>
        </w:rPr>
        <w:t>naive</w:t>
      </w:r>
      <w:proofErr w:type="spellEnd"/>
      <w:r w:rsidRPr="004237A5">
        <w:rPr>
          <w:color w:val="000000"/>
          <w:sz w:val="22"/>
          <w:szCs w:val="22"/>
        </w:rPr>
        <w:t>.</w:t>
      </w:r>
    </w:p>
    <w:p w14:paraId="5B53E230" w14:textId="77777777" w:rsidR="00D76C65" w:rsidRDefault="00446DBA" w:rsidP="00D76C65">
      <w:pPr>
        <w:spacing w:after="240"/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Prendono nomi diversi a seconda dei tessuti in cui si localizzano</w:t>
      </w:r>
      <w:r w:rsidR="00BF0474" w:rsidRPr="004237A5">
        <w:rPr>
          <w:color w:val="000000"/>
          <w:sz w:val="22"/>
          <w:szCs w:val="22"/>
        </w:rPr>
        <w:t>.</w:t>
      </w:r>
      <w:r w:rsidR="00D76C65">
        <w:rPr>
          <w:color w:val="000000"/>
          <w:sz w:val="22"/>
          <w:szCs w:val="22"/>
        </w:rPr>
        <w:t xml:space="preserve"> </w:t>
      </w:r>
    </w:p>
    <w:p w14:paraId="7CD563F6" w14:textId="5A35C1AD" w:rsidR="00446DBA" w:rsidRPr="00D76C65" w:rsidRDefault="00F9758E" w:rsidP="00D76C65">
      <w:pPr>
        <w:spacing w:after="240"/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Tra le diverse tipologie di DC è importante sottolineare che l</w:t>
      </w:r>
      <w:r w:rsidR="00446DBA" w:rsidRPr="004237A5">
        <w:rPr>
          <w:color w:val="000000"/>
          <w:sz w:val="22"/>
          <w:szCs w:val="22"/>
        </w:rPr>
        <w:t xml:space="preserve">a funzione principale delle cellule di Langerhans è la captazione antigenica. Esse sono uno stadio maturativo delle cellule dendritiche; a livello periferico sono molto </w:t>
      </w:r>
      <w:r w:rsidRPr="004237A5">
        <w:rPr>
          <w:color w:val="000000"/>
          <w:sz w:val="22"/>
          <w:szCs w:val="22"/>
        </w:rPr>
        <w:t>capaci</w:t>
      </w:r>
      <w:r w:rsidR="00446DBA" w:rsidRPr="004237A5">
        <w:rPr>
          <w:color w:val="000000"/>
          <w:sz w:val="22"/>
          <w:szCs w:val="22"/>
        </w:rPr>
        <w:t xml:space="preserve"> a inglobare l’antigene </w:t>
      </w:r>
      <w:r w:rsidR="00063DF2" w:rsidRPr="004237A5">
        <w:rPr>
          <w:color w:val="000000"/>
          <w:sz w:val="22"/>
          <w:szCs w:val="22"/>
        </w:rPr>
        <w:t xml:space="preserve">mentre risultano meno adatte </w:t>
      </w:r>
      <w:r w:rsidR="00446DBA" w:rsidRPr="004237A5">
        <w:rPr>
          <w:color w:val="000000"/>
          <w:sz w:val="22"/>
          <w:szCs w:val="22"/>
        </w:rPr>
        <w:t xml:space="preserve">alla </w:t>
      </w:r>
      <w:r w:rsidR="00063DF2" w:rsidRPr="004237A5">
        <w:rPr>
          <w:color w:val="000000"/>
          <w:sz w:val="22"/>
          <w:szCs w:val="22"/>
        </w:rPr>
        <w:t xml:space="preserve">sua </w:t>
      </w:r>
      <w:r w:rsidR="00446DBA" w:rsidRPr="004237A5">
        <w:rPr>
          <w:color w:val="000000"/>
          <w:sz w:val="22"/>
          <w:szCs w:val="22"/>
        </w:rPr>
        <w:t>presentazione. </w:t>
      </w:r>
    </w:p>
    <w:p w14:paraId="4A0980E4" w14:textId="1BE00C1B" w:rsidR="00446DBA" w:rsidRPr="004237A5" w:rsidRDefault="00446DBA" w:rsidP="004237A5">
      <w:pPr>
        <w:jc w:val="both"/>
        <w:rPr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Le cellule </w:t>
      </w:r>
      <w:proofErr w:type="spellStart"/>
      <w:r w:rsidRPr="004237A5">
        <w:rPr>
          <w:color w:val="000000"/>
          <w:sz w:val="22"/>
          <w:szCs w:val="22"/>
        </w:rPr>
        <w:t>veiled</w:t>
      </w:r>
      <w:proofErr w:type="spellEnd"/>
      <w:r w:rsidRPr="004237A5">
        <w:rPr>
          <w:color w:val="000000"/>
          <w:sz w:val="22"/>
          <w:szCs w:val="22"/>
        </w:rPr>
        <w:t xml:space="preserve"> diventano cellule dendritiche </w:t>
      </w:r>
      <w:proofErr w:type="spellStart"/>
      <w:r w:rsidRPr="004237A5">
        <w:rPr>
          <w:color w:val="000000"/>
          <w:sz w:val="22"/>
          <w:szCs w:val="22"/>
        </w:rPr>
        <w:t>interdigitate</w:t>
      </w:r>
      <w:proofErr w:type="spellEnd"/>
      <w:r w:rsidRPr="004237A5">
        <w:rPr>
          <w:color w:val="000000"/>
          <w:sz w:val="22"/>
          <w:szCs w:val="22"/>
        </w:rPr>
        <w:t xml:space="preserve">, presenti nei vasi linfatici afferenti e rappresentano le cellule di Langerhans migrate per presentare gli antigeni ai linfociti </w:t>
      </w:r>
      <w:proofErr w:type="spellStart"/>
      <w:r w:rsidRPr="004237A5">
        <w:rPr>
          <w:color w:val="000000"/>
          <w:sz w:val="22"/>
          <w:szCs w:val="22"/>
        </w:rPr>
        <w:t>naive</w:t>
      </w:r>
      <w:proofErr w:type="spellEnd"/>
      <w:r w:rsidRPr="004237A5">
        <w:rPr>
          <w:color w:val="000000"/>
          <w:sz w:val="22"/>
          <w:szCs w:val="22"/>
        </w:rPr>
        <w:t xml:space="preserve"> dei linfonodi e della milza. </w:t>
      </w:r>
    </w:p>
    <w:p w14:paraId="5D24932F" w14:textId="5F2F66F6" w:rsidR="00D76C65" w:rsidRDefault="00446DBA" w:rsidP="00D76C6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lastRenderedPageBreak/>
        <w:t xml:space="preserve">Le cellule </w:t>
      </w:r>
      <w:proofErr w:type="spellStart"/>
      <w:r w:rsidRPr="004237A5">
        <w:rPr>
          <w:color w:val="000000"/>
          <w:sz w:val="22"/>
          <w:szCs w:val="22"/>
        </w:rPr>
        <w:t>dentridiche</w:t>
      </w:r>
      <w:proofErr w:type="spellEnd"/>
      <w:r w:rsidRPr="004237A5">
        <w:rPr>
          <w:color w:val="000000"/>
          <w:sz w:val="22"/>
          <w:szCs w:val="22"/>
        </w:rPr>
        <w:t xml:space="preserve"> </w:t>
      </w:r>
      <w:r w:rsidRPr="004237A5">
        <w:rPr>
          <w:b/>
          <w:bCs/>
          <w:color w:val="000000"/>
          <w:sz w:val="22"/>
          <w:szCs w:val="22"/>
        </w:rPr>
        <w:t>follicolari</w:t>
      </w:r>
      <w:r w:rsidRPr="004237A5">
        <w:rPr>
          <w:color w:val="000000"/>
          <w:sz w:val="22"/>
          <w:szCs w:val="22"/>
        </w:rPr>
        <w:t xml:space="preserve"> sono presenti nei centri germinativi secondari e servono a presentare l’Ag ai linfociti B.</w:t>
      </w:r>
    </w:p>
    <w:p w14:paraId="33E43C21" w14:textId="77777777" w:rsidR="00D76C65" w:rsidRDefault="00D76C65" w:rsidP="00D76C65">
      <w:pPr>
        <w:jc w:val="both"/>
        <w:rPr>
          <w:color w:val="000000"/>
          <w:sz w:val="22"/>
          <w:szCs w:val="22"/>
        </w:rPr>
      </w:pPr>
    </w:p>
    <w:p w14:paraId="188C22F2" w14:textId="77777777" w:rsidR="00D76C65" w:rsidRPr="00D76C65" w:rsidRDefault="00D76C65" w:rsidP="00D76C65">
      <w:pPr>
        <w:jc w:val="both"/>
        <w:rPr>
          <w:color w:val="000000"/>
          <w:sz w:val="22"/>
          <w:szCs w:val="22"/>
        </w:rPr>
      </w:pPr>
    </w:p>
    <w:p w14:paraId="3C17CD60" w14:textId="00B4306A" w:rsidR="00446DBA" w:rsidRPr="00D76C65" w:rsidRDefault="00446DBA" w:rsidP="00D76C65">
      <w:pPr>
        <w:spacing w:after="120"/>
        <w:jc w:val="both"/>
        <w:rPr>
          <w:sz w:val="22"/>
          <w:szCs w:val="22"/>
        </w:rPr>
      </w:pPr>
      <w:r w:rsidRPr="00D76C65">
        <w:rPr>
          <w:b/>
          <w:bCs/>
          <w:color w:val="000000"/>
          <w:sz w:val="22"/>
          <w:szCs w:val="22"/>
          <w:u w:val="single"/>
        </w:rPr>
        <w:t>PROCESSO DI MATURAZIONE DELLE CELLULE DENDRITICHE</w:t>
      </w:r>
      <w:r w:rsidR="00D76C65">
        <w:rPr>
          <w:b/>
          <w:bCs/>
          <w:color w:val="000000"/>
          <w:sz w:val="22"/>
          <w:szCs w:val="22"/>
        </w:rPr>
        <w:t>:</w:t>
      </w:r>
    </w:p>
    <w:p w14:paraId="782EB64F" w14:textId="0012FBDA" w:rsidR="00446DBA" w:rsidRPr="004237A5" w:rsidRDefault="00446DBA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Vanno incontro ad un processo che ne modifica le capacità e caratteristiche di presentazione dell’antigene. Confrontando le cellule di Langerhans con quelle inter-digitate notiamo, infatti, che le prime sono dotate di un’alta capacità di fagocitosi che è del tutto assente nelle seconde, inoltre le prime esprimono alte quantità di una serie di recettori (tabella sotto) che ne permettono l’interazione con vari patogeni. Le cellule </w:t>
      </w:r>
      <w:proofErr w:type="spellStart"/>
      <w:r w:rsidRPr="004237A5">
        <w:rPr>
          <w:color w:val="000000"/>
          <w:sz w:val="22"/>
          <w:szCs w:val="22"/>
        </w:rPr>
        <w:t>interdigitate</w:t>
      </w:r>
      <w:proofErr w:type="spellEnd"/>
      <w:r w:rsidRPr="004237A5">
        <w:rPr>
          <w:color w:val="000000"/>
          <w:sz w:val="22"/>
          <w:szCs w:val="22"/>
        </w:rPr>
        <w:t xml:space="preserve"> dendritiche invece sono migliori nella fase di presentazione dell’antigene, in quanto esprimono maggiori livelli di MHC II e molecole co-</w:t>
      </w:r>
      <w:proofErr w:type="spellStart"/>
      <w:r w:rsidRPr="004237A5">
        <w:rPr>
          <w:color w:val="000000"/>
          <w:sz w:val="22"/>
          <w:szCs w:val="22"/>
        </w:rPr>
        <w:t>stimolatorie</w:t>
      </w:r>
      <w:proofErr w:type="spellEnd"/>
      <w:r w:rsidRPr="004237A5">
        <w:rPr>
          <w:color w:val="000000"/>
          <w:sz w:val="22"/>
          <w:szCs w:val="22"/>
        </w:rPr>
        <w:t xml:space="preserve"> B7.</w:t>
      </w:r>
    </w:p>
    <w:p w14:paraId="3314FE1E" w14:textId="095CCAB5" w:rsidR="00446DBA" w:rsidRPr="004237A5" w:rsidRDefault="0031201E" w:rsidP="004237A5">
      <w:pPr>
        <w:jc w:val="both"/>
        <w:rPr>
          <w:color w:val="000000"/>
          <w:sz w:val="22"/>
          <w:szCs w:val="22"/>
        </w:rPr>
      </w:pPr>
      <w:r w:rsidRPr="004237A5">
        <w:rPr>
          <w:noProof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9744" behindDoc="0" locked="0" layoutInCell="1" allowOverlap="1" wp14:anchorId="46D3B272" wp14:editId="729A8EC1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3669665" cy="1686560"/>
            <wp:effectExtent l="0" t="0" r="0" b="0"/>
            <wp:wrapSquare wrapText="bothSides"/>
            <wp:docPr id="23" name="Immagine 23" descr="page11image178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11image178054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2"/>
                    <a:stretch/>
                  </pic:blipFill>
                  <pic:spPr bwMode="auto">
                    <a:xfrm>
                      <a:off x="0" y="0"/>
                      <a:ext cx="3697210" cy="169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DBA" w:rsidRPr="004237A5">
        <w:rPr>
          <w:color w:val="000000"/>
          <w:sz w:val="22"/>
          <w:szCs w:val="22"/>
        </w:rPr>
        <w:t xml:space="preserve">Le cellule di Langerhans passano allo stato di cellule </w:t>
      </w:r>
      <w:proofErr w:type="spellStart"/>
      <w:r w:rsidR="00446DBA" w:rsidRPr="004237A5">
        <w:rPr>
          <w:color w:val="000000"/>
          <w:sz w:val="22"/>
          <w:szCs w:val="22"/>
        </w:rPr>
        <w:t>veiled</w:t>
      </w:r>
      <w:proofErr w:type="spellEnd"/>
      <w:r w:rsidR="00446DBA" w:rsidRPr="004237A5">
        <w:rPr>
          <w:color w:val="000000"/>
          <w:sz w:val="22"/>
          <w:szCs w:val="22"/>
        </w:rPr>
        <w:t xml:space="preserve">, che sono quelle circolanti con l’Ag, e diventano, nei linfonodi regionali, le cellule dendritiche </w:t>
      </w:r>
      <w:proofErr w:type="spellStart"/>
      <w:r w:rsidR="00446DBA" w:rsidRPr="004237A5">
        <w:rPr>
          <w:color w:val="000000"/>
          <w:sz w:val="22"/>
          <w:szCs w:val="22"/>
        </w:rPr>
        <w:t>interdigitate</w:t>
      </w:r>
      <w:proofErr w:type="spellEnd"/>
      <w:r w:rsidR="00446DBA" w:rsidRPr="004237A5">
        <w:rPr>
          <w:color w:val="000000"/>
          <w:sz w:val="22"/>
          <w:szCs w:val="22"/>
        </w:rPr>
        <w:t xml:space="preserve"> mature.</w:t>
      </w:r>
    </w:p>
    <w:p w14:paraId="2D09CF20" w14:textId="11E91424" w:rsidR="003B79EE" w:rsidRPr="004237A5" w:rsidRDefault="00446DBA" w:rsidP="00D76C65">
      <w:pPr>
        <w:spacing w:after="120"/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Quando si parla di maturazione si parla di questo processo di passaggio da Langerhans a CID. In pratica, le cellule di Langerhans sono molto capaci di internalizzare gli antigeni ma meno nell’esporli, mentre per le CID è il contrario.</w:t>
      </w:r>
    </w:p>
    <w:p w14:paraId="7E022716" w14:textId="4977BF0C" w:rsidR="00446DBA" w:rsidRPr="004237A5" w:rsidRDefault="00D76C65" w:rsidP="004237A5">
      <w:pPr>
        <w:jc w:val="both"/>
        <w:rPr>
          <w:color w:val="000000"/>
          <w:sz w:val="22"/>
          <w:szCs w:val="22"/>
        </w:rPr>
      </w:pPr>
      <w:r w:rsidRPr="004237A5">
        <w:rPr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9984" behindDoc="0" locked="0" layoutInCell="1" allowOverlap="1" wp14:anchorId="1CE88F14" wp14:editId="15B43DB0">
            <wp:simplePos x="0" y="0"/>
            <wp:positionH relativeFrom="column">
              <wp:posOffset>2887770</wp:posOffset>
            </wp:positionH>
            <wp:positionV relativeFrom="paragraph">
              <wp:posOffset>17841</wp:posOffset>
            </wp:positionV>
            <wp:extent cx="3229610" cy="1579880"/>
            <wp:effectExtent l="0" t="0" r="0" b="0"/>
            <wp:wrapSquare wrapText="bothSides"/>
            <wp:docPr id="22" name="Immagine 22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DBA" w:rsidRPr="004237A5">
        <w:rPr>
          <w:color w:val="000000"/>
          <w:sz w:val="22"/>
          <w:szCs w:val="22"/>
        </w:rPr>
        <w:t>Mentre le cellule di L</w:t>
      </w:r>
      <w:r w:rsidR="00063DF2" w:rsidRPr="004237A5">
        <w:rPr>
          <w:color w:val="000000"/>
          <w:sz w:val="22"/>
          <w:szCs w:val="22"/>
        </w:rPr>
        <w:t>angerhans</w:t>
      </w:r>
      <w:r w:rsidR="00446DBA" w:rsidRPr="004237A5">
        <w:rPr>
          <w:color w:val="000000"/>
          <w:sz w:val="22"/>
          <w:szCs w:val="22"/>
        </w:rPr>
        <w:t xml:space="preserve"> sono deputate alla captazione dell’Ag e hanno elevata capacità di </w:t>
      </w:r>
      <w:proofErr w:type="spellStart"/>
      <w:r w:rsidR="00446DBA" w:rsidRPr="004237A5">
        <w:rPr>
          <w:color w:val="000000"/>
          <w:sz w:val="22"/>
          <w:szCs w:val="22"/>
        </w:rPr>
        <w:t>micropinocitosi</w:t>
      </w:r>
      <w:proofErr w:type="spellEnd"/>
      <w:r w:rsidR="00446DBA" w:rsidRPr="004237A5">
        <w:rPr>
          <w:color w:val="000000"/>
          <w:sz w:val="22"/>
          <w:szCs w:val="22"/>
        </w:rPr>
        <w:t xml:space="preserve">, esprimono i recettori per residui di mannosio e </w:t>
      </w:r>
      <w:proofErr w:type="spellStart"/>
      <w:r w:rsidR="00446DBA" w:rsidRPr="004237A5">
        <w:rPr>
          <w:color w:val="000000"/>
          <w:sz w:val="22"/>
          <w:szCs w:val="22"/>
        </w:rPr>
        <w:t>fucosio</w:t>
      </w:r>
      <w:proofErr w:type="spellEnd"/>
      <w:r w:rsidR="00446DBA" w:rsidRPr="004237A5">
        <w:rPr>
          <w:color w:val="000000"/>
          <w:sz w:val="22"/>
          <w:szCs w:val="22"/>
        </w:rPr>
        <w:t xml:space="preserve"> e per i frammenti FC delle IgG, le cellule dendritiche </w:t>
      </w:r>
      <w:proofErr w:type="spellStart"/>
      <w:r w:rsidR="00063DF2" w:rsidRPr="004237A5">
        <w:rPr>
          <w:color w:val="000000"/>
          <w:sz w:val="22"/>
          <w:szCs w:val="22"/>
        </w:rPr>
        <w:t>interdigitate</w:t>
      </w:r>
      <w:proofErr w:type="spellEnd"/>
      <w:r w:rsidR="00063DF2" w:rsidRPr="004237A5">
        <w:rPr>
          <w:color w:val="000000"/>
          <w:sz w:val="22"/>
          <w:szCs w:val="22"/>
        </w:rPr>
        <w:t xml:space="preserve"> </w:t>
      </w:r>
      <w:r w:rsidR="00446DBA" w:rsidRPr="004237A5">
        <w:rPr>
          <w:color w:val="000000"/>
          <w:sz w:val="22"/>
          <w:szCs w:val="22"/>
        </w:rPr>
        <w:t xml:space="preserve">acquisiscono una maggiore capacità di presentazione incrementando l’espressione delle MHC classe II e delle molecole </w:t>
      </w:r>
      <w:proofErr w:type="spellStart"/>
      <w:r w:rsidR="00446DBA" w:rsidRPr="004237A5">
        <w:rPr>
          <w:color w:val="000000"/>
          <w:sz w:val="22"/>
          <w:szCs w:val="22"/>
        </w:rPr>
        <w:t>costimolatorie</w:t>
      </w:r>
      <w:proofErr w:type="spellEnd"/>
      <w:r w:rsidR="00446DBA" w:rsidRPr="004237A5">
        <w:rPr>
          <w:color w:val="000000"/>
          <w:sz w:val="22"/>
          <w:szCs w:val="22"/>
        </w:rPr>
        <w:t>.</w:t>
      </w:r>
    </w:p>
    <w:p w14:paraId="33A27B9E" w14:textId="77777777" w:rsidR="00446DBA" w:rsidRPr="004237A5" w:rsidRDefault="00446DBA" w:rsidP="004237A5">
      <w:pPr>
        <w:jc w:val="both"/>
        <w:rPr>
          <w:sz w:val="22"/>
          <w:szCs w:val="22"/>
        </w:rPr>
      </w:pPr>
      <w:r w:rsidRPr="004237A5">
        <w:rPr>
          <w:color w:val="000000"/>
          <w:sz w:val="22"/>
          <w:szCs w:val="22"/>
        </w:rPr>
        <w:t>Nel processo di maturazione si osserva un passaggio e una variazione di funzioni.</w:t>
      </w:r>
    </w:p>
    <w:p w14:paraId="7B6D235A" w14:textId="77777777" w:rsidR="00446DBA" w:rsidRDefault="00446DBA" w:rsidP="004237A5">
      <w:pPr>
        <w:jc w:val="both"/>
        <w:rPr>
          <w:sz w:val="22"/>
          <w:szCs w:val="22"/>
        </w:rPr>
      </w:pPr>
    </w:p>
    <w:p w14:paraId="653A2E55" w14:textId="77777777" w:rsidR="00D76C65" w:rsidRPr="004237A5" w:rsidRDefault="00D76C65" w:rsidP="004237A5">
      <w:pPr>
        <w:jc w:val="both"/>
        <w:rPr>
          <w:sz w:val="22"/>
          <w:szCs w:val="22"/>
        </w:rPr>
      </w:pPr>
    </w:p>
    <w:p w14:paraId="24F2346D" w14:textId="23C6B765" w:rsidR="00446DBA" w:rsidRPr="004237A5" w:rsidRDefault="00446DBA" w:rsidP="00D76C65">
      <w:pPr>
        <w:spacing w:after="120"/>
        <w:jc w:val="both"/>
        <w:rPr>
          <w:b/>
          <w:bCs/>
          <w:color w:val="000000"/>
          <w:sz w:val="22"/>
          <w:szCs w:val="22"/>
        </w:rPr>
      </w:pPr>
      <w:r w:rsidRPr="00D76C65">
        <w:rPr>
          <w:b/>
          <w:bCs/>
          <w:color w:val="000000"/>
          <w:sz w:val="22"/>
          <w:szCs w:val="22"/>
          <w:u w:val="single"/>
        </w:rPr>
        <w:t>MECCANISMI DI CAPTAZIONE</w:t>
      </w:r>
      <w:r w:rsidR="00D76C65">
        <w:rPr>
          <w:b/>
          <w:bCs/>
          <w:color w:val="000000"/>
          <w:sz w:val="22"/>
          <w:szCs w:val="22"/>
        </w:rPr>
        <w:t>:</w:t>
      </w:r>
    </w:p>
    <w:p w14:paraId="7AD1EF78" w14:textId="42E6E57E" w:rsidR="00446DBA" w:rsidRPr="00D76C65" w:rsidRDefault="00063DF2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L</w:t>
      </w:r>
      <w:r w:rsidR="00446DBA" w:rsidRPr="004237A5">
        <w:rPr>
          <w:color w:val="000000"/>
          <w:sz w:val="22"/>
          <w:szCs w:val="22"/>
        </w:rPr>
        <w:t>e cellule dendri</w:t>
      </w:r>
      <w:r w:rsidR="00245052" w:rsidRPr="004237A5">
        <w:rPr>
          <w:color w:val="000000"/>
          <w:sz w:val="22"/>
          <w:szCs w:val="22"/>
        </w:rPr>
        <w:t>ti</w:t>
      </w:r>
      <w:r w:rsidR="00446DBA" w:rsidRPr="004237A5">
        <w:rPr>
          <w:color w:val="000000"/>
          <w:sz w:val="22"/>
          <w:szCs w:val="22"/>
        </w:rPr>
        <w:t xml:space="preserve">che sono in grado di captare l’Ag </w:t>
      </w:r>
      <w:r w:rsidR="00446DBA" w:rsidRPr="00D76C65">
        <w:rPr>
          <w:color w:val="000000"/>
          <w:sz w:val="22"/>
          <w:szCs w:val="22"/>
        </w:rPr>
        <w:t>attraverso diversi meccanismi</w:t>
      </w:r>
      <w:r w:rsidR="00D76C65" w:rsidRPr="00D76C65">
        <w:rPr>
          <w:color w:val="000000"/>
          <w:sz w:val="22"/>
          <w:szCs w:val="22"/>
        </w:rPr>
        <w:t>:</w:t>
      </w:r>
    </w:p>
    <w:p w14:paraId="0706FAD8" w14:textId="49F0FF2A" w:rsidR="00D76C65" w:rsidRPr="00D76C65" w:rsidRDefault="00D76C65" w:rsidP="00D76C65">
      <w:pPr>
        <w:pStyle w:val="Paragrafoelenco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D76C65">
        <w:rPr>
          <w:rFonts w:ascii="Times New Roman" w:hAnsi="Times New Roman" w:cs="Times New Roman"/>
          <w:b/>
          <w:bCs/>
          <w:color w:val="000000"/>
        </w:rPr>
        <w:t>Macropinocitosi</w:t>
      </w:r>
      <w:proofErr w:type="spellEnd"/>
    </w:p>
    <w:p w14:paraId="0656FDBB" w14:textId="7D5A8FC8" w:rsidR="00D76C65" w:rsidRPr="00D76C65" w:rsidRDefault="00D76C65" w:rsidP="00D76C65">
      <w:pPr>
        <w:pStyle w:val="Paragrafoelenco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76C65">
        <w:rPr>
          <w:rFonts w:ascii="Times New Roman" w:hAnsi="Times New Roman" w:cs="Times New Roman"/>
          <w:b/>
          <w:bCs/>
          <w:color w:val="000000"/>
        </w:rPr>
        <w:t xml:space="preserve">Recettori per i residui di mannosio e </w:t>
      </w:r>
      <w:proofErr w:type="spellStart"/>
      <w:r w:rsidRPr="00D76C65">
        <w:rPr>
          <w:rFonts w:ascii="Times New Roman" w:hAnsi="Times New Roman" w:cs="Times New Roman"/>
          <w:b/>
          <w:bCs/>
          <w:color w:val="000000"/>
        </w:rPr>
        <w:t>fucosio</w:t>
      </w:r>
      <w:proofErr w:type="spellEnd"/>
      <w:r w:rsidRPr="00D76C65">
        <w:rPr>
          <w:rFonts w:ascii="Times New Roman" w:hAnsi="Times New Roman" w:cs="Times New Roman"/>
          <w:color w:val="000000"/>
        </w:rPr>
        <w:t xml:space="preserve"> (componenti comuni delle pareti batteriche);</w:t>
      </w:r>
    </w:p>
    <w:p w14:paraId="234D3197" w14:textId="60913AE1" w:rsidR="00D76C65" w:rsidRPr="00D76C65" w:rsidRDefault="00D76C65" w:rsidP="00D76C65">
      <w:pPr>
        <w:pStyle w:val="Paragrafoelenco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76C65">
        <w:rPr>
          <w:rFonts w:ascii="Times New Roman" w:hAnsi="Times New Roman" w:cs="Times New Roman"/>
          <w:b/>
          <w:bCs/>
          <w:color w:val="000000"/>
        </w:rPr>
        <w:t xml:space="preserve">Recettori per </w:t>
      </w:r>
      <w:proofErr w:type="spellStart"/>
      <w:r w:rsidRPr="00D76C65">
        <w:rPr>
          <w:rFonts w:ascii="Times New Roman" w:hAnsi="Times New Roman" w:cs="Times New Roman"/>
          <w:b/>
          <w:bCs/>
          <w:color w:val="000000"/>
        </w:rPr>
        <w:t>Fc</w:t>
      </w:r>
      <w:proofErr w:type="spellEnd"/>
      <w:r w:rsidRPr="00D76C65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D76C65">
        <w:rPr>
          <w:rFonts w:ascii="Times New Roman" w:hAnsi="Times New Roman" w:cs="Times New Roman"/>
          <w:color w:val="000000"/>
        </w:rPr>
        <w:t>Fc</w:t>
      </w:r>
      <w:proofErr w:type="spellEnd"/>
      <w:r w:rsidRPr="00D76C65">
        <w:rPr>
          <w:rFonts w:ascii="Cambria Math" w:hAnsi="Cambria Math" w:cs="Cambria Math"/>
          <w:color w:val="000000"/>
        </w:rPr>
        <w:t>𝛾</w:t>
      </w:r>
      <w:r w:rsidRPr="00D76C65">
        <w:rPr>
          <w:rFonts w:ascii="Times New Roman" w:hAnsi="Times New Roman" w:cs="Times New Roman"/>
          <w:color w:val="000000"/>
        </w:rPr>
        <w:t xml:space="preserve"> RII);</w:t>
      </w:r>
    </w:p>
    <w:p w14:paraId="36A83CB4" w14:textId="6D693DA3" w:rsidR="00D76C65" w:rsidRPr="00D76C65" w:rsidRDefault="00D76C65" w:rsidP="00D76C65">
      <w:pPr>
        <w:pStyle w:val="Paragrafoelenco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76C65">
        <w:rPr>
          <w:rFonts w:ascii="Times New Roman" w:hAnsi="Times New Roman" w:cs="Times New Roman"/>
          <w:b/>
          <w:bCs/>
          <w:color w:val="000000"/>
        </w:rPr>
        <w:t xml:space="preserve">Recettori </w:t>
      </w:r>
      <w:proofErr w:type="spellStart"/>
      <w:r w:rsidRPr="00D76C65">
        <w:rPr>
          <w:rFonts w:ascii="Times New Roman" w:hAnsi="Times New Roman" w:cs="Times New Roman"/>
          <w:b/>
          <w:bCs/>
          <w:color w:val="000000"/>
        </w:rPr>
        <w:t>lectinici</w:t>
      </w:r>
      <w:proofErr w:type="spellEnd"/>
      <w:r w:rsidRPr="00D76C65">
        <w:rPr>
          <w:rFonts w:ascii="Times New Roman" w:hAnsi="Times New Roman" w:cs="Times New Roman"/>
          <w:color w:val="000000"/>
        </w:rPr>
        <w:t>;</w:t>
      </w:r>
    </w:p>
    <w:p w14:paraId="218AA442" w14:textId="2E2C5EDF" w:rsidR="00D76C65" w:rsidRPr="00D76C65" w:rsidRDefault="00D76C65" w:rsidP="00D76C65">
      <w:pPr>
        <w:pStyle w:val="Paragrafoelenco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D76C65">
        <w:rPr>
          <w:rFonts w:ascii="Times New Roman" w:hAnsi="Times New Roman" w:cs="Times New Roman"/>
          <w:b/>
          <w:bCs/>
          <w:color w:val="000000"/>
        </w:rPr>
        <w:t>TLR</w:t>
      </w:r>
      <w:r w:rsidRPr="00D76C65">
        <w:rPr>
          <w:rFonts w:ascii="Times New Roman" w:hAnsi="Times New Roman" w:cs="Times New Roman"/>
          <w:color w:val="000000"/>
        </w:rPr>
        <w:t xml:space="preserve"> </w:t>
      </w:r>
      <w:r w:rsidRPr="00D76C65">
        <w:rPr>
          <w:rFonts w:ascii="Times New Roman" w:hAnsi="Times New Roman" w:cs="Times New Roman"/>
          <w:i/>
          <w:iCs/>
          <w:color w:val="000000"/>
        </w:rPr>
        <w:t>(</w:t>
      </w:r>
      <w:proofErr w:type="spellStart"/>
      <w:r w:rsidRPr="00D76C65">
        <w:rPr>
          <w:rFonts w:ascii="Times New Roman" w:hAnsi="Times New Roman" w:cs="Times New Roman"/>
          <w:i/>
          <w:iCs/>
          <w:color w:val="000000"/>
        </w:rPr>
        <w:t>Toll</w:t>
      </w:r>
      <w:proofErr w:type="spellEnd"/>
      <w:r w:rsidRPr="00D76C65">
        <w:rPr>
          <w:rFonts w:ascii="Times New Roman" w:hAnsi="Times New Roman" w:cs="Times New Roman"/>
          <w:i/>
          <w:iCs/>
          <w:color w:val="000000"/>
        </w:rPr>
        <w:t>-like Receptor)</w:t>
      </w:r>
      <w:r w:rsidRPr="00D76C65">
        <w:rPr>
          <w:rFonts w:ascii="Times New Roman" w:hAnsi="Times New Roman" w:cs="Times New Roman"/>
          <w:color w:val="000000"/>
        </w:rPr>
        <w:t xml:space="preserve">: recettori altamente conservati che riconoscono i </w:t>
      </w:r>
      <w:proofErr w:type="spellStart"/>
      <w:r w:rsidRPr="00D76C65">
        <w:rPr>
          <w:rFonts w:ascii="Times New Roman" w:hAnsi="Times New Roman" w:cs="Times New Roman"/>
          <w:color w:val="000000"/>
        </w:rPr>
        <w:t>PAMPs</w:t>
      </w:r>
      <w:proofErr w:type="spellEnd"/>
      <w:r w:rsidRPr="00D76C65">
        <w:rPr>
          <w:rFonts w:ascii="Times New Roman" w:hAnsi="Times New Roman" w:cs="Times New Roman"/>
          <w:color w:val="000000"/>
        </w:rPr>
        <w:t xml:space="preserve"> </w:t>
      </w:r>
      <w:r w:rsidRPr="00D76C65">
        <w:rPr>
          <w:rFonts w:ascii="Times New Roman" w:hAnsi="Times New Roman" w:cs="Times New Roman"/>
          <w:i/>
          <w:iCs/>
          <w:color w:val="000000"/>
        </w:rPr>
        <w:t>(</w:t>
      </w:r>
      <w:proofErr w:type="spellStart"/>
      <w:r w:rsidRPr="00D76C65">
        <w:rPr>
          <w:rFonts w:ascii="Times New Roman" w:hAnsi="Times New Roman" w:cs="Times New Roman"/>
          <w:i/>
          <w:iCs/>
          <w:color w:val="000000"/>
        </w:rPr>
        <w:t>Pathogen</w:t>
      </w:r>
      <w:proofErr w:type="spellEnd"/>
      <w:r w:rsidRPr="00D76C65">
        <w:rPr>
          <w:rFonts w:ascii="Times New Roman" w:hAnsi="Times New Roman" w:cs="Times New Roman"/>
          <w:i/>
          <w:iCs/>
          <w:color w:val="000000"/>
        </w:rPr>
        <w:t xml:space="preserve">-Associated </w:t>
      </w:r>
      <w:proofErr w:type="spellStart"/>
      <w:r w:rsidRPr="00D76C65">
        <w:rPr>
          <w:rFonts w:ascii="Times New Roman" w:hAnsi="Times New Roman" w:cs="Times New Roman"/>
          <w:i/>
          <w:iCs/>
          <w:color w:val="000000"/>
        </w:rPr>
        <w:t>Molecular</w:t>
      </w:r>
      <w:proofErr w:type="spellEnd"/>
      <w:r w:rsidRPr="00D76C65">
        <w:rPr>
          <w:rFonts w:ascii="Times New Roman" w:hAnsi="Times New Roman" w:cs="Times New Roman"/>
          <w:i/>
          <w:iCs/>
          <w:color w:val="000000"/>
        </w:rPr>
        <w:t xml:space="preserve"> Patterns)</w:t>
      </w:r>
    </w:p>
    <w:p w14:paraId="62DCBF6F" w14:textId="2438EAB4" w:rsidR="00446DBA" w:rsidRPr="00D76C65" w:rsidRDefault="00D76C65" w:rsidP="004237A5">
      <w:pPr>
        <w:jc w:val="both"/>
        <w:rPr>
          <w:sz w:val="22"/>
          <w:szCs w:val="22"/>
        </w:rPr>
      </w:pPr>
      <w:r w:rsidRPr="004237A5">
        <w:rPr>
          <w:noProof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91008" behindDoc="0" locked="0" layoutInCell="1" allowOverlap="1" wp14:anchorId="2290318B" wp14:editId="37813351">
            <wp:simplePos x="0" y="0"/>
            <wp:positionH relativeFrom="column">
              <wp:posOffset>807</wp:posOffset>
            </wp:positionH>
            <wp:positionV relativeFrom="paragraph">
              <wp:posOffset>124935</wp:posOffset>
            </wp:positionV>
            <wp:extent cx="2333625" cy="1704340"/>
            <wp:effectExtent l="0" t="0" r="0" b="0"/>
            <wp:wrapSquare wrapText="bothSides"/>
            <wp:docPr id="27" name="Immagine 27" descr="Immagine che contiene testo, mappa, diagramm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Immagine che contiene testo, mappa, diagramma, schermat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5"/>
                    <a:stretch/>
                  </pic:blipFill>
                  <pic:spPr bwMode="auto">
                    <a:xfrm>
                      <a:off x="0" y="0"/>
                      <a:ext cx="233362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8F471" w14:textId="568AC1C8" w:rsidR="00446DBA" w:rsidRPr="004237A5" w:rsidRDefault="00446DBA" w:rsidP="00D76C65">
      <w:pPr>
        <w:spacing w:after="120"/>
        <w:jc w:val="both"/>
        <w:rPr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Le cellule dendritiche esprimono recettori capaci di legare residui di </w:t>
      </w:r>
      <w:proofErr w:type="spellStart"/>
      <w:r w:rsidRPr="004237A5">
        <w:rPr>
          <w:color w:val="000000"/>
          <w:sz w:val="22"/>
          <w:szCs w:val="22"/>
        </w:rPr>
        <w:t>fucosio</w:t>
      </w:r>
      <w:proofErr w:type="spellEnd"/>
      <w:r w:rsidRPr="004237A5">
        <w:rPr>
          <w:color w:val="000000"/>
          <w:sz w:val="22"/>
          <w:szCs w:val="22"/>
        </w:rPr>
        <w:t xml:space="preserve"> e mannosio (zuccheri comunemente presenti sulle pareti batteriche) permettendo di riconoscere la presenza di batteri senza discriminarne la categoria.</w:t>
      </w:r>
    </w:p>
    <w:p w14:paraId="71B67B33" w14:textId="77777777" w:rsidR="00446DBA" w:rsidRPr="004237A5" w:rsidRDefault="00446DBA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Esprimono poi: recettori </w:t>
      </w:r>
      <w:proofErr w:type="spellStart"/>
      <w:r w:rsidRPr="004237A5">
        <w:rPr>
          <w:color w:val="000000"/>
          <w:sz w:val="22"/>
          <w:szCs w:val="22"/>
        </w:rPr>
        <w:t>Fcγ</w:t>
      </w:r>
      <w:proofErr w:type="spellEnd"/>
      <w:r w:rsidRPr="004237A5">
        <w:rPr>
          <w:color w:val="000000"/>
          <w:sz w:val="22"/>
          <w:szCs w:val="22"/>
        </w:rPr>
        <w:t xml:space="preserve"> R II, recettori </w:t>
      </w:r>
      <w:proofErr w:type="spellStart"/>
      <w:r w:rsidRPr="004237A5">
        <w:rPr>
          <w:color w:val="000000"/>
          <w:sz w:val="22"/>
          <w:szCs w:val="22"/>
        </w:rPr>
        <w:t>lectinici</w:t>
      </w:r>
      <w:proofErr w:type="spellEnd"/>
      <w:r w:rsidRPr="004237A5">
        <w:rPr>
          <w:color w:val="000000"/>
          <w:sz w:val="22"/>
          <w:szCs w:val="22"/>
        </w:rPr>
        <w:t xml:space="preserve"> e i </w:t>
      </w:r>
      <w:proofErr w:type="spellStart"/>
      <w:r w:rsidRPr="004237A5">
        <w:rPr>
          <w:color w:val="000000"/>
          <w:sz w:val="22"/>
          <w:szCs w:val="22"/>
        </w:rPr>
        <w:t>toll</w:t>
      </w:r>
      <w:proofErr w:type="spellEnd"/>
      <w:r w:rsidRPr="004237A5">
        <w:rPr>
          <w:color w:val="000000"/>
          <w:sz w:val="22"/>
          <w:szCs w:val="22"/>
        </w:rPr>
        <w:t>-like receptor (TLR).</w:t>
      </w:r>
    </w:p>
    <w:p w14:paraId="00A13FCE" w14:textId="3D5219F5" w:rsidR="00446DBA" w:rsidRPr="004237A5" w:rsidRDefault="00446DBA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Questi ultimi sono recettori altamente conservati, detti PRR (pattern </w:t>
      </w:r>
      <w:proofErr w:type="spellStart"/>
      <w:r w:rsidRPr="004237A5">
        <w:rPr>
          <w:color w:val="000000"/>
          <w:sz w:val="22"/>
          <w:szCs w:val="22"/>
        </w:rPr>
        <w:t>recognition</w:t>
      </w:r>
      <w:proofErr w:type="spellEnd"/>
      <w:r w:rsidRPr="004237A5">
        <w:rPr>
          <w:color w:val="000000"/>
          <w:sz w:val="22"/>
          <w:szCs w:val="22"/>
        </w:rPr>
        <w:t xml:space="preserve"> receptors), che riconoscono componenti molecolari comuni a più patogeni, in particolare riconoscono i </w:t>
      </w:r>
      <w:proofErr w:type="spellStart"/>
      <w:r w:rsidRPr="004237A5">
        <w:rPr>
          <w:color w:val="000000"/>
          <w:sz w:val="22"/>
          <w:szCs w:val="22"/>
        </w:rPr>
        <w:t>PAMPs</w:t>
      </w:r>
      <w:proofErr w:type="spellEnd"/>
      <w:r w:rsidRPr="004237A5">
        <w:rPr>
          <w:color w:val="000000"/>
          <w:sz w:val="22"/>
          <w:szCs w:val="22"/>
        </w:rPr>
        <w:t xml:space="preserve"> (</w:t>
      </w:r>
      <w:proofErr w:type="spellStart"/>
      <w:r w:rsidRPr="004237A5">
        <w:rPr>
          <w:i/>
          <w:iCs/>
          <w:color w:val="000000"/>
          <w:sz w:val="22"/>
          <w:szCs w:val="22"/>
        </w:rPr>
        <w:t>pathogen</w:t>
      </w:r>
      <w:proofErr w:type="spellEnd"/>
      <w:r w:rsidRPr="004237A5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4237A5">
        <w:rPr>
          <w:i/>
          <w:iCs/>
          <w:color w:val="000000"/>
          <w:sz w:val="22"/>
          <w:szCs w:val="22"/>
        </w:rPr>
        <w:t>associated</w:t>
      </w:r>
      <w:proofErr w:type="spellEnd"/>
      <w:r w:rsidRPr="004237A5">
        <w:rPr>
          <w:i/>
          <w:iCs/>
          <w:color w:val="000000"/>
          <w:sz w:val="22"/>
          <w:szCs w:val="22"/>
        </w:rPr>
        <w:t xml:space="preserve"> </w:t>
      </w:r>
      <w:proofErr w:type="spellStart"/>
      <w:r w:rsidRPr="004237A5">
        <w:rPr>
          <w:i/>
          <w:iCs/>
          <w:color w:val="000000"/>
          <w:sz w:val="22"/>
          <w:szCs w:val="22"/>
        </w:rPr>
        <w:t>molecular</w:t>
      </w:r>
      <w:proofErr w:type="spellEnd"/>
      <w:r w:rsidRPr="004237A5">
        <w:rPr>
          <w:i/>
          <w:iCs/>
          <w:color w:val="000000"/>
          <w:sz w:val="22"/>
          <w:szCs w:val="22"/>
        </w:rPr>
        <w:t xml:space="preserve"> patterns</w:t>
      </w:r>
      <w:r w:rsidRPr="004237A5">
        <w:rPr>
          <w:color w:val="000000"/>
          <w:sz w:val="22"/>
          <w:szCs w:val="22"/>
        </w:rPr>
        <w:t xml:space="preserve">). I diversi </w:t>
      </w:r>
      <w:r w:rsidRPr="004237A5">
        <w:rPr>
          <w:color w:val="000000"/>
          <w:sz w:val="22"/>
          <w:szCs w:val="22"/>
        </w:rPr>
        <w:lastRenderedPageBreak/>
        <w:t xml:space="preserve">patogeni esprimono delle componenti che vengono riconosciuti tramite i TLR dalle APC inducendone la captazione, la processazione e presentazione al linfocita T. </w:t>
      </w:r>
    </w:p>
    <w:p w14:paraId="45196115" w14:textId="11BA980F" w:rsidR="00446DBA" w:rsidRPr="004237A5" w:rsidRDefault="00D76C65" w:rsidP="004237A5">
      <w:pPr>
        <w:jc w:val="both"/>
        <w:rPr>
          <w:sz w:val="22"/>
          <w:szCs w:val="22"/>
        </w:rPr>
      </w:pPr>
      <w:r w:rsidRPr="004237A5">
        <w:rPr>
          <w:noProof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1792" behindDoc="0" locked="0" layoutInCell="1" allowOverlap="1" wp14:anchorId="7B179620" wp14:editId="129D4C34">
            <wp:simplePos x="0" y="0"/>
            <wp:positionH relativeFrom="margin">
              <wp:posOffset>4082415</wp:posOffset>
            </wp:positionH>
            <wp:positionV relativeFrom="paragraph">
              <wp:posOffset>57051</wp:posOffset>
            </wp:positionV>
            <wp:extent cx="2033905" cy="1478280"/>
            <wp:effectExtent l="0" t="0" r="0" b="0"/>
            <wp:wrapSquare wrapText="bothSides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DBA" w:rsidRPr="004237A5">
        <w:rPr>
          <w:color w:val="000000"/>
          <w:sz w:val="22"/>
          <w:szCs w:val="22"/>
        </w:rPr>
        <w:t>Le cellule dendritiche esprimono diversi tipi di TLR.</w:t>
      </w:r>
    </w:p>
    <w:p w14:paraId="79AE32A6" w14:textId="1F50874A" w:rsidR="00446DBA" w:rsidRPr="004237A5" w:rsidRDefault="00446DBA" w:rsidP="00D76C65">
      <w:pPr>
        <w:spacing w:after="120"/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A seconda del patogeno e dei TLR che vengono legati dai </w:t>
      </w:r>
      <w:proofErr w:type="spellStart"/>
      <w:r w:rsidRPr="004237A5">
        <w:rPr>
          <w:color w:val="000000"/>
          <w:sz w:val="22"/>
          <w:szCs w:val="22"/>
        </w:rPr>
        <w:t>PAMPs</w:t>
      </w:r>
      <w:proofErr w:type="spellEnd"/>
      <w:r w:rsidRPr="004237A5">
        <w:rPr>
          <w:color w:val="000000"/>
          <w:sz w:val="22"/>
          <w:szCs w:val="22"/>
        </w:rPr>
        <w:t xml:space="preserve"> espressi nei patogeni, l’APC produrrà molecole co-</w:t>
      </w:r>
      <w:proofErr w:type="spellStart"/>
      <w:r w:rsidRPr="004237A5">
        <w:rPr>
          <w:color w:val="000000"/>
          <w:sz w:val="22"/>
          <w:szCs w:val="22"/>
        </w:rPr>
        <w:t>stimolatorie</w:t>
      </w:r>
      <w:proofErr w:type="spellEnd"/>
      <w:r w:rsidRPr="004237A5">
        <w:rPr>
          <w:color w:val="000000"/>
          <w:sz w:val="22"/>
          <w:szCs w:val="22"/>
        </w:rPr>
        <w:t xml:space="preserve"> diverse </w:t>
      </w:r>
      <w:r w:rsidR="00063DF2" w:rsidRPr="004237A5">
        <w:rPr>
          <w:color w:val="000000"/>
          <w:sz w:val="22"/>
          <w:szCs w:val="22"/>
        </w:rPr>
        <w:t>in modo</w:t>
      </w:r>
      <w:r w:rsidRPr="004237A5">
        <w:rPr>
          <w:color w:val="000000"/>
          <w:sz w:val="22"/>
          <w:szCs w:val="22"/>
        </w:rPr>
        <w:t xml:space="preserve"> da determinare l’attivazione di sottotipi funzionali diversi di linfociti T Helper. </w:t>
      </w:r>
    </w:p>
    <w:p w14:paraId="736E8ACF" w14:textId="531645F2" w:rsidR="00446DBA" w:rsidRPr="00D76C65" w:rsidRDefault="00446DBA" w:rsidP="00D76C65">
      <w:pPr>
        <w:spacing w:after="120"/>
        <w:jc w:val="both"/>
        <w:rPr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Bisogna ricordare che non esiste un solo genere di linfocita T helper ma esistono diversi </w:t>
      </w:r>
      <w:r w:rsidRPr="004237A5">
        <w:rPr>
          <w:color w:val="000000"/>
          <w:sz w:val="22"/>
          <w:szCs w:val="22"/>
          <w:u w:val="single"/>
        </w:rPr>
        <w:t>sottotipi funzionali</w:t>
      </w:r>
      <w:r w:rsidRPr="004237A5">
        <w:rPr>
          <w:color w:val="000000"/>
          <w:sz w:val="22"/>
          <w:szCs w:val="22"/>
        </w:rPr>
        <w:t xml:space="preserve"> che non differiscono tanto da un punto di vista fenotipico, ma sul tipo di funzione che svolgono. I principiali sottotipi funzionali di cellule T helper sono:</w:t>
      </w:r>
      <w:r w:rsidR="00D76C65">
        <w:rPr>
          <w:sz w:val="22"/>
          <w:szCs w:val="22"/>
        </w:rPr>
        <w:t xml:space="preserve"> </w:t>
      </w:r>
      <w:r w:rsidRPr="004237A5">
        <w:rPr>
          <w:color w:val="000000"/>
          <w:sz w:val="22"/>
          <w:szCs w:val="22"/>
        </w:rPr>
        <w:t>Th1</w:t>
      </w:r>
      <w:r w:rsidR="00D76C65">
        <w:rPr>
          <w:sz w:val="22"/>
          <w:szCs w:val="22"/>
        </w:rPr>
        <w:t xml:space="preserve">, </w:t>
      </w:r>
      <w:r w:rsidRPr="004237A5">
        <w:rPr>
          <w:color w:val="000000"/>
          <w:sz w:val="22"/>
          <w:szCs w:val="22"/>
        </w:rPr>
        <w:t>Th2</w:t>
      </w:r>
      <w:r w:rsidR="00D76C65">
        <w:rPr>
          <w:sz w:val="22"/>
          <w:szCs w:val="22"/>
        </w:rPr>
        <w:t xml:space="preserve">, </w:t>
      </w:r>
      <w:r w:rsidRPr="004237A5">
        <w:rPr>
          <w:color w:val="000000"/>
          <w:sz w:val="22"/>
          <w:szCs w:val="22"/>
        </w:rPr>
        <w:t>Th17</w:t>
      </w:r>
      <w:r w:rsidR="00D76C65">
        <w:rPr>
          <w:sz w:val="22"/>
          <w:szCs w:val="22"/>
        </w:rPr>
        <w:t xml:space="preserve"> e </w:t>
      </w:r>
      <w:proofErr w:type="spellStart"/>
      <w:r w:rsidRPr="004237A5">
        <w:rPr>
          <w:color w:val="000000"/>
          <w:sz w:val="22"/>
          <w:szCs w:val="22"/>
        </w:rPr>
        <w:t>Treg</w:t>
      </w:r>
      <w:proofErr w:type="spellEnd"/>
      <w:r w:rsidR="00D76C65">
        <w:rPr>
          <w:color w:val="000000"/>
          <w:sz w:val="22"/>
          <w:szCs w:val="22"/>
        </w:rPr>
        <w:t>.</w:t>
      </w:r>
    </w:p>
    <w:p w14:paraId="72D0186A" w14:textId="66B4E2DE" w:rsidR="00446DBA" w:rsidRPr="004237A5" w:rsidRDefault="00D76C65" w:rsidP="00D76C65">
      <w:pPr>
        <w:jc w:val="both"/>
        <w:textAlignment w:val="baseline"/>
        <w:rPr>
          <w:color w:val="000000"/>
          <w:sz w:val="22"/>
          <w:szCs w:val="22"/>
        </w:rPr>
      </w:pPr>
      <w:r w:rsidRPr="004237A5">
        <w:rPr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29E16672" wp14:editId="2D3CDAA9">
            <wp:simplePos x="0" y="0"/>
            <wp:positionH relativeFrom="margin">
              <wp:posOffset>3438525</wp:posOffset>
            </wp:positionH>
            <wp:positionV relativeFrom="paragraph">
              <wp:posOffset>251238</wp:posOffset>
            </wp:positionV>
            <wp:extent cx="2736215" cy="2120900"/>
            <wp:effectExtent l="0" t="0" r="0" b="0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DBA" w:rsidRPr="004237A5">
        <w:rPr>
          <w:color w:val="000000"/>
          <w:sz w:val="22"/>
          <w:szCs w:val="22"/>
        </w:rPr>
        <w:t>Sono tutti CD4 positiv</w:t>
      </w:r>
      <w:r w:rsidR="00063DF2" w:rsidRPr="004237A5">
        <w:rPr>
          <w:color w:val="000000"/>
          <w:sz w:val="22"/>
          <w:szCs w:val="22"/>
        </w:rPr>
        <w:t>i</w:t>
      </w:r>
      <w:r w:rsidR="00446DBA" w:rsidRPr="004237A5">
        <w:rPr>
          <w:color w:val="000000"/>
          <w:sz w:val="22"/>
          <w:szCs w:val="22"/>
        </w:rPr>
        <w:t xml:space="preserve"> (quindi riconoscono gli Ag associati a MHC classe II) che si differenziano a partire dal progenitore che </w:t>
      </w:r>
      <w:r w:rsidR="00063DF2" w:rsidRPr="004237A5">
        <w:rPr>
          <w:color w:val="000000"/>
          <w:sz w:val="22"/>
          <w:szCs w:val="22"/>
        </w:rPr>
        <w:t>riconosce</w:t>
      </w:r>
      <w:r w:rsidR="00446DBA" w:rsidRPr="004237A5">
        <w:rPr>
          <w:color w:val="000000"/>
          <w:sz w:val="22"/>
          <w:szCs w:val="22"/>
        </w:rPr>
        <w:t xml:space="preserve"> l’Ag in presenza di particolari mix di citochine.</w:t>
      </w:r>
    </w:p>
    <w:p w14:paraId="34458608" w14:textId="705E24C1" w:rsidR="00446DBA" w:rsidRPr="004237A5" w:rsidRDefault="00446DBA" w:rsidP="004237A5">
      <w:pPr>
        <w:jc w:val="both"/>
        <w:rPr>
          <w:sz w:val="22"/>
          <w:szCs w:val="22"/>
        </w:rPr>
      </w:pPr>
      <w:r w:rsidRPr="004237A5">
        <w:rPr>
          <w:color w:val="000000"/>
          <w:sz w:val="22"/>
          <w:szCs w:val="22"/>
        </w:rPr>
        <w:t>Questi si generano dal linfocita T helper naïve che riconosce l’antigene portato dall’APC in base alle diverse molecole co-</w:t>
      </w:r>
      <w:proofErr w:type="spellStart"/>
      <w:r w:rsidRPr="004237A5">
        <w:rPr>
          <w:color w:val="000000"/>
          <w:sz w:val="22"/>
          <w:szCs w:val="22"/>
        </w:rPr>
        <w:t>stimolatorie</w:t>
      </w:r>
      <w:proofErr w:type="spellEnd"/>
      <w:r w:rsidRPr="004237A5">
        <w:rPr>
          <w:color w:val="000000"/>
          <w:sz w:val="22"/>
          <w:szCs w:val="22"/>
        </w:rPr>
        <w:t xml:space="preserve"> che questa fornisce. A seconda del tipo di antigene che scatena la reazione, e quindi del tipo di TLR che viene espresso sull’APC, la dendritica produrrà citochine che indurranno la differenziazione nei vari sottotipi funzionali del T helper.</w:t>
      </w:r>
    </w:p>
    <w:p w14:paraId="6A33AD8E" w14:textId="0EE94A40" w:rsidR="00446DBA" w:rsidRPr="004237A5" w:rsidRDefault="00446DBA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Quindi, a seconda del patogeno incontrato, l’APC riceverà un segnale mediante i </w:t>
      </w:r>
      <w:proofErr w:type="spellStart"/>
      <w:r w:rsidRPr="004237A5">
        <w:rPr>
          <w:color w:val="000000"/>
          <w:sz w:val="22"/>
          <w:szCs w:val="22"/>
        </w:rPr>
        <w:t>PAMPs</w:t>
      </w:r>
      <w:proofErr w:type="spellEnd"/>
      <w:r w:rsidRPr="004237A5">
        <w:rPr>
          <w:color w:val="000000"/>
          <w:sz w:val="22"/>
          <w:szCs w:val="22"/>
        </w:rPr>
        <w:t xml:space="preserve"> espressi dai patogeni che indurranno la cellula dendritica a presentare l’antigene in associazione a segnali co-stimolatori che indirizzeranno alla differenziazione in un sottotipo funzionale particolare di T helper.</w:t>
      </w:r>
    </w:p>
    <w:p w14:paraId="5B9619D2" w14:textId="541D5B71" w:rsidR="00446DBA" w:rsidRPr="004237A5" w:rsidRDefault="00446DBA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In questo caso non è un meccanismo antigene specifico, perché la specificità della risposta è a carico del T helper, mentre le APC riconoscono attraverso TLR component</w:t>
      </w:r>
      <w:r w:rsidR="00063DF2" w:rsidRPr="004237A5">
        <w:rPr>
          <w:color w:val="000000"/>
          <w:sz w:val="22"/>
          <w:szCs w:val="22"/>
        </w:rPr>
        <w:t>i</w:t>
      </w:r>
      <w:r w:rsidRPr="004237A5">
        <w:rPr>
          <w:color w:val="000000"/>
          <w:sz w:val="22"/>
          <w:szCs w:val="22"/>
        </w:rPr>
        <w:t xml:space="preserve"> comuni a più specie microbiche (ad esempio Gram -, virus, funghi).</w:t>
      </w:r>
    </w:p>
    <w:p w14:paraId="28696315" w14:textId="094EA937" w:rsidR="00446DBA" w:rsidRPr="004237A5" w:rsidRDefault="00446DBA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La differenziazione principale (verso un Th1 o un Th2) è quella più antica.</w:t>
      </w:r>
    </w:p>
    <w:p w14:paraId="2236A01F" w14:textId="21DEF9A9" w:rsidR="00D75C82" w:rsidRPr="004237A5" w:rsidRDefault="00D75C82" w:rsidP="004237A5">
      <w:pPr>
        <w:jc w:val="both"/>
        <w:rPr>
          <w:color w:val="000000"/>
          <w:sz w:val="22"/>
          <w:szCs w:val="22"/>
        </w:rPr>
      </w:pPr>
    </w:p>
    <w:p w14:paraId="6E0AF5A4" w14:textId="77777777" w:rsidR="00446DBA" w:rsidRPr="004237A5" w:rsidRDefault="00446DBA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>La dendritica influenza il linfocita a differenziarsi in una direzione o l’altra, portando alla produzione di una determinata miscela di citochine che poi avranno meccanismi effettori responsabili di una determinata risposta.</w:t>
      </w:r>
    </w:p>
    <w:p w14:paraId="357E8CB0" w14:textId="4A9B830F" w:rsidR="00446DBA" w:rsidRPr="004237A5" w:rsidRDefault="00446DBA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La differenziazione verso un Th1 porta ad una risposta chiamata Th1-like che prevede l’attivazione di meccanismi effettori di tipo </w:t>
      </w:r>
      <w:proofErr w:type="spellStart"/>
      <w:r w:rsidRPr="004237A5">
        <w:rPr>
          <w:color w:val="000000"/>
          <w:sz w:val="22"/>
          <w:szCs w:val="22"/>
        </w:rPr>
        <w:t>cellulo</w:t>
      </w:r>
      <w:proofErr w:type="spellEnd"/>
      <w:r w:rsidRPr="004237A5">
        <w:rPr>
          <w:color w:val="000000"/>
          <w:sz w:val="22"/>
          <w:szCs w:val="22"/>
        </w:rPr>
        <w:t>-mediato, principalmente efficaci verso patogeni intracellulari (virus e batteri intracellulari); l’associazione a IL-4</w:t>
      </w:r>
      <w:r w:rsidR="001D5BFD" w:rsidRPr="004237A5">
        <w:rPr>
          <w:color w:val="000000"/>
          <w:sz w:val="22"/>
          <w:szCs w:val="22"/>
        </w:rPr>
        <w:t>, invece,</w:t>
      </w:r>
      <w:r w:rsidRPr="004237A5">
        <w:rPr>
          <w:color w:val="000000"/>
          <w:sz w:val="22"/>
          <w:szCs w:val="22"/>
        </w:rPr>
        <w:t xml:space="preserve"> determina l’attivazione prevalentemente di Th2 che nella fase effettrice produrranno citochine che hanno un ruolo nell’attivazione della risposta umorale.  </w:t>
      </w:r>
    </w:p>
    <w:p w14:paraId="52E81C5F" w14:textId="2C5D9585" w:rsidR="00446DBA" w:rsidRPr="004237A5" w:rsidRDefault="00446DBA" w:rsidP="004237A5">
      <w:pPr>
        <w:jc w:val="both"/>
        <w:rPr>
          <w:sz w:val="22"/>
          <w:szCs w:val="22"/>
        </w:rPr>
      </w:pPr>
      <w:r w:rsidRPr="004237A5">
        <w:rPr>
          <w:color w:val="000000"/>
          <w:sz w:val="22"/>
          <w:szCs w:val="22"/>
        </w:rPr>
        <w:t>Infine</w:t>
      </w:r>
      <w:r w:rsidR="001D5BFD" w:rsidRPr="004237A5">
        <w:rPr>
          <w:color w:val="000000"/>
          <w:sz w:val="22"/>
          <w:szCs w:val="22"/>
        </w:rPr>
        <w:t>,</w:t>
      </w:r>
      <w:r w:rsidRPr="004237A5">
        <w:rPr>
          <w:color w:val="000000"/>
          <w:sz w:val="22"/>
          <w:szCs w:val="22"/>
        </w:rPr>
        <w:t xml:space="preserve"> i Th17 sono quelli </w:t>
      </w:r>
      <w:r w:rsidR="001D5BFD" w:rsidRPr="004237A5">
        <w:rPr>
          <w:color w:val="000000"/>
          <w:sz w:val="22"/>
          <w:szCs w:val="22"/>
        </w:rPr>
        <w:t>coinvolti</w:t>
      </w:r>
      <w:r w:rsidRPr="004237A5">
        <w:rPr>
          <w:color w:val="000000"/>
          <w:sz w:val="22"/>
          <w:szCs w:val="22"/>
        </w:rPr>
        <w:t xml:space="preserve"> nella risposta contro batteri extracellulari e in alcune patologie autoimmuni e i </w:t>
      </w:r>
      <w:r w:rsidRPr="004237A5">
        <w:rPr>
          <w:b/>
          <w:bCs/>
          <w:color w:val="000000"/>
          <w:sz w:val="22"/>
          <w:szCs w:val="22"/>
        </w:rPr>
        <w:t>T regolatori</w:t>
      </w:r>
      <w:r w:rsidRPr="004237A5">
        <w:rPr>
          <w:color w:val="000000"/>
          <w:sz w:val="22"/>
          <w:szCs w:val="22"/>
        </w:rPr>
        <w:t xml:space="preserve"> (“</w:t>
      </w:r>
      <w:proofErr w:type="spellStart"/>
      <w:r w:rsidRPr="004237A5">
        <w:rPr>
          <w:b/>
          <w:bCs/>
          <w:color w:val="000000"/>
          <w:sz w:val="22"/>
          <w:szCs w:val="22"/>
        </w:rPr>
        <w:t>Treg</w:t>
      </w:r>
      <w:proofErr w:type="spellEnd"/>
      <w:r w:rsidRPr="004237A5">
        <w:rPr>
          <w:color w:val="000000"/>
          <w:sz w:val="22"/>
          <w:szCs w:val="22"/>
        </w:rPr>
        <w:t>”) invece di avere una funzione di attivazione della risposta hanno una funzione di regolazione e controllo della risposta immune. </w:t>
      </w:r>
    </w:p>
    <w:p w14:paraId="2D953996" w14:textId="77777777" w:rsidR="00446DBA" w:rsidRPr="004237A5" w:rsidRDefault="00446DBA" w:rsidP="004237A5">
      <w:pPr>
        <w:jc w:val="both"/>
        <w:rPr>
          <w:sz w:val="22"/>
          <w:szCs w:val="22"/>
        </w:rPr>
      </w:pPr>
    </w:p>
    <w:p w14:paraId="50CEF77F" w14:textId="77777777" w:rsidR="00446DBA" w:rsidRPr="004237A5" w:rsidRDefault="00446DBA" w:rsidP="00D76C65">
      <w:pPr>
        <w:ind w:right="849"/>
        <w:jc w:val="both"/>
        <w:rPr>
          <w:i/>
          <w:iCs/>
          <w:color w:val="000000"/>
          <w:sz w:val="22"/>
          <w:szCs w:val="22"/>
        </w:rPr>
      </w:pPr>
      <w:r w:rsidRPr="00D76C65">
        <w:rPr>
          <w:i/>
          <w:iCs/>
          <w:color w:val="000000"/>
          <w:sz w:val="22"/>
          <w:szCs w:val="22"/>
          <w:u w:val="single"/>
        </w:rPr>
        <w:t>NB</w:t>
      </w:r>
      <w:r w:rsidRPr="004237A5">
        <w:rPr>
          <w:i/>
          <w:iCs/>
          <w:color w:val="000000"/>
          <w:sz w:val="22"/>
          <w:szCs w:val="22"/>
        </w:rPr>
        <w:t xml:space="preserve">: Non si può mai parlare di una distinzione netta nella risposta immune in senso Th1, Th2, Th17, </w:t>
      </w:r>
      <w:proofErr w:type="spellStart"/>
      <w:r w:rsidRPr="004237A5">
        <w:rPr>
          <w:i/>
          <w:iCs/>
          <w:color w:val="000000"/>
          <w:sz w:val="22"/>
          <w:szCs w:val="22"/>
        </w:rPr>
        <w:t>Treg</w:t>
      </w:r>
      <w:proofErr w:type="spellEnd"/>
      <w:r w:rsidRPr="004237A5">
        <w:rPr>
          <w:i/>
          <w:iCs/>
          <w:color w:val="000000"/>
          <w:sz w:val="22"/>
          <w:szCs w:val="22"/>
        </w:rPr>
        <w:t xml:space="preserve"> perché stiamo sempre parlando di una risposta che è solo preferenzialmente indirizzata. È importante sottolineare, inoltre, che le citochine prodotte dalle forme differenziate dei T helper si inibiscono a vicenda.</w:t>
      </w:r>
    </w:p>
    <w:p w14:paraId="2EF9B255" w14:textId="77777777" w:rsidR="00446DBA" w:rsidRDefault="00446DBA" w:rsidP="004237A5">
      <w:pPr>
        <w:ind w:right="849"/>
        <w:jc w:val="both"/>
        <w:rPr>
          <w:sz w:val="22"/>
          <w:szCs w:val="22"/>
        </w:rPr>
      </w:pPr>
    </w:p>
    <w:p w14:paraId="30D9ECE2" w14:textId="77777777" w:rsidR="00D76C65" w:rsidRPr="004237A5" w:rsidRDefault="00D76C65" w:rsidP="004237A5">
      <w:pPr>
        <w:ind w:right="849"/>
        <w:jc w:val="both"/>
        <w:rPr>
          <w:sz w:val="22"/>
          <w:szCs w:val="22"/>
        </w:rPr>
      </w:pPr>
    </w:p>
    <w:p w14:paraId="3C3B2FA3" w14:textId="33616F99" w:rsidR="00446DBA" w:rsidRPr="00D76C65" w:rsidRDefault="00446DBA" w:rsidP="00D76C65">
      <w:pPr>
        <w:spacing w:after="120"/>
        <w:jc w:val="both"/>
        <w:rPr>
          <w:b/>
          <w:bCs/>
          <w:color w:val="000000"/>
          <w:sz w:val="22"/>
          <w:szCs w:val="22"/>
        </w:rPr>
      </w:pPr>
      <w:r w:rsidRPr="004237A5">
        <w:rPr>
          <w:b/>
          <w:bCs/>
          <w:color w:val="000000"/>
          <w:sz w:val="22"/>
          <w:szCs w:val="22"/>
          <w:u w:val="single"/>
        </w:rPr>
        <w:t>TOLL- LIKE RECEPTORS (</w:t>
      </w:r>
      <w:proofErr w:type="spellStart"/>
      <w:r w:rsidRPr="004237A5">
        <w:rPr>
          <w:b/>
          <w:bCs/>
          <w:color w:val="000000"/>
          <w:sz w:val="22"/>
          <w:szCs w:val="22"/>
          <w:u w:val="single"/>
        </w:rPr>
        <w:t>TLRs</w:t>
      </w:r>
      <w:proofErr w:type="spellEnd"/>
      <w:r w:rsidRPr="004237A5">
        <w:rPr>
          <w:b/>
          <w:bCs/>
          <w:color w:val="000000"/>
          <w:sz w:val="22"/>
          <w:szCs w:val="22"/>
          <w:u w:val="single"/>
        </w:rPr>
        <w:t>)</w:t>
      </w:r>
      <w:r w:rsidR="00D76C65">
        <w:rPr>
          <w:b/>
          <w:bCs/>
          <w:color w:val="000000"/>
          <w:sz w:val="22"/>
          <w:szCs w:val="22"/>
        </w:rPr>
        <w:t>:</w:t>
      </w:r>
    </w:p>
    <w:p w14:paraId="0E9B5889" w14:textId="77777777" w:rsidR="00D76C65" w:rsidRDefault="00446DBA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La possibilità di differenziare i linfociti T helper dipende da quali fattori sono forniti dalla cellula dendritica, che a sua volta dipende dal tipo di TLR legato dal patogeno. </w:t>
      </w:r>
    </w:p>
    <w:p w14:paraId="3744CDC1" w14:textId="77777777" w:rsidR="00D76C65" w:rsidRDefault="00D76C65" w:rsidP="004237A5">
      <w:pPr>
        <w:jc w:val="both"/>
        <w:rPr>
          <w:color w:val="000000"/>
          <w:sz w:val="22"/>
          <w:szCs w:val="22"/>
        </w:rPr>
      </w:pPr>
    </w:p>
    <w:p w14:paraId="4F5EAF4C" w14:textId="77777777" w:rsidR="00D76C65" w:rsidRDefault="00D76C65" w:rsidP="004237A5">
      <w:pPr>
        <w:jc w:val="both"/>
        <w:rPr>
          <w:color w:val="000000"/>
          <w:sz w:val="22"/>
          <w:szCs w:val="22"/>
        </w:rPr>
      </w:pPr>
    </w:p>
    <w:p w14:paraId="544E2B6A" w14:textId="2EEC5B48" w:rsidR="00D76C65" w:rsidRDefault="00D76C65" w:rsidP="004237A5">
      <w:pPr>
        <w:jc w:val="both"/>
        <w:rPr>
          <w:color w:val="000000"/>
          <w:sz w:val="22"/>
          <w:szCs w:val="22"/>
        </w:rPr>
      </w:pPr>
      <w:r w:rsidRPr="004237A5">
        <w:rPr>
          <w:noProof/>
          <w:sz w:val="22"/>
          <w:szCs w:val="22"/>
          <w:bdr w:val="none" w:sz="0" w:space="0" w:color="auto" w:frame="1"/>
        </w:rPr>
        <w:lastRenderedPageBreak/>
        <w:drawing>
          <wp:anchor distT="0" distB="0" distL="114300" distR="114300" simplePos="0" relativeHeight="251682816" behindDoc="0" locked="0" layoutInCell="1" allowOverlap="1" wp14:anchorId="501B3EAB" wp14:editId="0A117054">
            <wp:simplePos x="0" y="0"/>
            <wp:positionH relativeFrom="column">
              <wp:posOffset>4206875</wp:posOffset>
            </wp:positionH>
            <wp:positionV relativeFrom="page">
              <wp:posOffset>2600473</wp:posOffset>
            </wp:positionV>
            <wp:extent cx="1997710" cy="3093720"/>
            <wp:effectExtent l="0" t="0" r="0" b="0"/>
            <wp:wrapSquare wrapText="bothSides"/>
            <wp:docPr id="17" name="Immagine 17" descr="page127image383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27image38306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651E7" w14:textId="7CB460A3" w:rsidR="00D76C65" w:rsidRDefault="00D76C65" w:rsidP="004237A5">
      <w:pPr>
        <w:jc w:val="both"/>
        <w:rPr>
          <w:color w:val="000000"/>
          <w:sz w:val="22"/>
          <w:szCs w:val="22"/>
        </w:rPr>
      </w:pPr>
    </w:p>
    <w:p w14:paraId="70843825" w14:textId="469C0BEC" w:rsidR="001D5BFD" w:rsidRPr="00D76C65" w:rsidRDefault="00D76C65" w:rsidP="004237A5">
      <w:pPr>
        <w:jc w:val="both"/>
        <w:rPr>
          <w:color w:val="000000"/>
          <w:sz w:val="22"/>
          <w:szCs w:val="22"/>
        </w:rPr>
      </w:pPr>
      <w:r w:rsidRPr="004237A5">
        <w:rPr>
          <w:noProof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92032" behindDoc="0" locked="0" layoutInCell="1" allowOverlap="1" wp14:anchorId="0AEEBF76" wp14:editId="3C769B9E">
            <wp:simplePos x="0" y="0"/>
            <wp:positionH relativeFrom="margin">
              <wp:posOffset>1093470</wp:posOffset>
            </wp:positionH>
            <wp:positionV relativeFrom="paragraph">
              <wp:posOffset>-314430</wp:posOffset>
            </wp:positionV>
            <wp:extent cx="3932555" cy="1586230"/>
            <wp:effectExtent l="0" t="0" r="0" b="0"/>
            <wp:wrapTopAndBottom/>
            <wp:docPr id="18" name="Immagine 18" descr="page17image1828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17image18282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DBA" w:rsidRPr="004237A5">
        <w:rPr>
          <w:color w:val="000000"/>
          <w:sz w:val="22"/>
          <w:szCs w:val="22"/>
        </w:rPr>
        <w:t>Sono recettori</w:t>
      </w:r>
      <w:r w:rsidR="001D5BFD" w:rsidRPr="004237A5">
        <w:rPr>
          <w:color w:val="000000"/>
          <w:sz w:val="22"/>
          <w:szCs w:val="22"/>
        </w:rPr>
        <w:t xml:space="preserve"> che riconoscono strutture comune a più patogeni; sono </w:t>
      </w:r>
      <w:r w:rsidR="00446DBA" w:rsidRPr="004237A5">
        <w:rPr>
          <w:color w:val="000000"/>
          <w:sz w:val="22"/>
          <w:szCs w:val="22"/>
        </w:rPr>
        <w:t xml:space="preserve">evolutivamente molto antichi (già </w:t>
      </w:r>
      <w:r w:rsidR="001D5BFD" w:rsidRPr="004237A5">
        <w:rPr>
          <w:color w:val="000000"/>
          <w:sz w:val="22"/>
          <w:szCs w:val="22"/>
        </w:rPr>
        <w:t xml:space="preserve">riscontrati </w:t>
      </w:r>
      <w:r w:rsidR="00446DBA" w:rsidRPr="004237A5">
        <w:rPr>
          <w:color w:val="000000"/>
          <w:sz w:val="22"/>
          <w:szCs w:val="22"/>
        </w:rPr>
        <w:t xml:space="preserve">nella </w:t>
      </w:r>
      <w:proofErr w:type="spellStart"/>
      <w:r w:rsidR="00446DBA" w:rsidRPr="004237A5">
        <w:rPr>
          <w:color w:val="000000"/>
          <w:sz w:val="22"/>
          <w:szCs w:val="22"/>
        </w:rPr>
        <w:t>drosophyla</w:t>
      </w:r>
      <w:proofErr w:type="spellEnd"/>
      <w:r w:rsidR="00446DBA" w:rsidRPr="004237A5">
        <w:rPr>
          <w:color w:val="000000"/>
          <w:sz w:val="22"/>
          <w:szCs w:val="22"/>
        </w:rPr>
        <w:t xml:space="preserve">). Ne sono stati identificati </w:t>
      </w:r>
      <w:proofErr w:type="gramStart"/>
      <w:r w:rsidR="00446DBA" w:rsidRPr="004237A5">
        <w:rPr>
          <w:color w:val="000000"/>
          <w:sz w:val="22"/>
          <w:szCs w:val="22"/>
        </w:rPr>
        <w:t>10</w:t>
      </w:r>
      <w:proofErr w:type="gramEnd"/>
      <w:r w:rsidR="00446DBA" w:rsidRPr="004237A5">
        <w:rPr>
          <w:color w:val="000000"/>
          <w:sz w:val="22"/>
          <w:szCs w:val="22"/>
        </w:rPr>
        <w:t xml:space="preserve"> tipi con struttura abbastanza simile, costituita da un dominio extracellulare ricco di residui di leucina e cisteina, un tratto transmembrana e una breve coda citoplasmatica. Sono identificati dalla sigla TLR seguita da un numero, ed ognuno di questi lega componenti </w:t>
      </w:r>
      <w:proofErr w:type="spellStart"/>
      <w:r w:rsidR="00446DBA" w:rsidRPr="004237A5">
        <w:rPr>
          <w:color w:val="000000"/>
          <w:sz w:val="22"/>
          <w:szCs w:val="22"/>
        </w:rPr>
        <w:t>PAMPs</w:t>
      </w:r>
      <w:proofErr w:type="spellEnd"/>
      <w:r w:rsidR="00446DBA" w:rsidRPr="004237A5">
        <w:rPr>
          <w:color w:val="000000"/>
          <w:sz w:val="22"/>
          <w:szCs w:val="22"/>
        </w:rPr>
        <w:t xml:space="preserve"> diversi; anche la loro localizzazione è diversa a seconda della tipologia: in particolare i TLR 1-2-4-5-6 sono presenti a livello della membrana plasmatica dell’APC (perché riconoscono componenti delle pareti batteriche) mentre TLR 3-7-8-9 si pongono sugli endosomi (riconoscono DNA, RNA virale ed è per questo che si localizzino all’interno della cellula).</w:t>
      </w:r>
      <w:r w:rsidR="001D5BFD" w:rsidRPr="004237A5">
        <w:rPr>
          <w:color w:val="000000"/>
          <w:sz w:val="22"/>
          <w:szCs w:val="22"/>
        </w:rPr>
        <w:t xml:space="preserve"> </w:t>
      </w:r>
    </w:p>
    <w:p w14:paraId="5DBA68AE" w14:textId="271EDE08" w:rsidR="00446DBA" w:rsidRPr="004237A5" w:rsidRDefault="001D5BFD" w:rsidP="004237A5">
      <w:pPr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Si possono trovare in forma di </w:t>
      </w:r>
      <w:r w:rsidR="00747A66" w:rsidRPr="004237A5">
        <w:rPr>
          <w:color w:val="000000"/>
          <w:sz w:val="22"/>
          <w:szCs w:val="22"/>
        </w:rPr>
        <w:t xml:space="preserve">monomeri, </w:t>
      </w:r>
      <w:proofErr w:type="spellStart"/>
      <w:r w:rsidRPr="004237A5">
        <w:rPr>
          <w:color w:val="000000"/>
          <w:sz w:val="22"/>
          <w:szCs w:val="22"/>
        </w:rPr>
        <w:t>omodimeri</w:t>
      </w:r>
      <w:proofErr w:type="spellEnd"/>
      <w:r w:rsidRPr="004237A5">
        <w:rPr>
          <w:color w:val="000000"/>
          <w:sz w:val="22"/>
          <w:szCs w:val="22"/>
        </w:rPr>
        <w:t xml:space="preserve"> o </w:t>
      </w:r>
      <w:proofErr w:type="spellStart"/>
      <w:r w:rsidRPr="004237A5">
        <w:rPr>
          <w:color w:val="000000"/>
          <w:sz w:val="22"/>
          <w:szCs w:val="22"/>
        </w:rPr>
        <w:t>eterodimeri</w:t>
      </w:r>
      <w:proofErr w:type="spellEnd"/>
      <w:r w:rsidRPr="004237A5">
        <w:rPr>
          <w:color w:val="000000"/>
          <w:sz w:val="22"/>
          <w:szCs w:val="22"/>
        </w:rPr>
        <w:t>.</w:t>
      </w:r>
      <w:r w:rsidR="00446DBA" w:rsidRPr="004237A5">
        <w:rPr>
          <w:sz w:val="22"/>
          <w:szCs w:val="22"/>
        </w:rPr>
        <w:t> </w:t>
      </w:r>
    </w:p>
    <w:p w14:paraId="534EB726" w14:textId="01E22087" w:rsidR="00446DBA" w:rsidRPr="004237A5" w:rsidRDefault="00446DBA" w:rsidP="004237A5">
      <w:pPr>
        <w:shd w:val="clear" w:color="auto" w:fill="FFFFFF"/>
        <w:jc w:val="both"/>
        <w:rPr>
          <w:color w:val="000000"/>
          <w:sz w:val="22"/>
          <w:szCs w:val="22"/>
        </w:rPr>
      </w:pPr>
      <w:r w:rsidRPr="004237A5">
        <w:rPr>
          <w:color w:val="000000"/>
          <w:sz w:val="22"/>
          <w:szCs w:val="22"/>
        </w:rPr>
        <w:t xml:space="preserve">Nei mammiferi i TLR sono responsabili della risposta a un’ampia varietà di molecole espresse dalle cellule microbiche, ma non dalle cellule normali. </w:t>
      </w:r>
    </w:p>
    <w:sectPr w:rsidR="00446DBA" w:rsidRPr="004237A5" w:rsidSect="004237A5">
      <w:headerReference w:type="even" r:id="rId22"/>
      <w:footerReference w:type="default" r:id="rId23"/>
      <w:pgSz w:w="11906" w:h="16838"/>
      <w:pgMar w:top="1417" w:right="1134" w:bottom="1134" w:left="1134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6EF8D" w14:textId="77777777" w:rsidR="002A24DC" w:rsidRDefault="002A24DC" w:rsidP="002423A7">
      <w:r>
        <w:separator/>
      </w:r>
    </w:p>
  </w:endnote>
  <w:endnote w:type="continuationSeparator" w:id="0">
    <w:p w14:paraId="08A90630" w14:textId="77777777" w:rsidR="002A24DC" w:rsidRDefault="002A24DC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C4C04" w14:textId="12CD54E4" w:rsidR="00E276E1" w:rsidRPr="00D76C65" w:rsidRDefault="00D76C65" w:rsidP="00D76C65">
    <w:pPr>
      <w:pStyle w:val="Pidipagina"/>
      <w:jc w:val="right"/>
      <w:rPr>
        <w:rFonts w:ascii="Times New Roman" w:hAnsi="Times New Roman" w:cs="Times New Roman"/>
        <w:color w:val="808080" w:themeColor="background1" w:themeShade="80"/>
      </w:rPr>
    </w:pPr>
    <w:r w:rsidRPr="00D76C65">
      <w:rPr>
        <w:rFonts w:ascii="Times New Roman" w:hAnsi="Times New Roman" w:cs="Times New Roman"/>
        <w:color w:val="808080" w:themeColor="background1" w:themeShade="80"/>
        <w:sz w:val="20"/>
        <w:szCs w:val="20"/>
      </w:rPr>
      <w:t xml:space="preserve">pag. </w:t>
    </w:r>
    <w:r w:rsidRPr="00D76C65">
      <w:rPr>
        <w:rFonts w:ascii="Times New Roman" w:hAnsi="Times New Roman" w:cs="Times New Roman"/>
        <w:color w:val="808080" w:themeColor="background1" w:themeShade="80"/>
        <w:sz w:val="20"/>
        <w:szCs w:val="20"/>
      </w:rPr>
      <w:fldChar w:fldCharType="begin"/>
    </w:r>
    <w:r w:rsidRPr="00D76C65">
      <w:rPr>
        <w:rFonts w:ascii="Times New Roman" w:hAnsi="Times New Roman" w:cs="Times New Roman"/>
        <w:color w:val="808080" w:themeColor="background1" w:themeShade="80"/>
        <w:sz w:val="20"/>
        <w:szCs w:val="20"/>
      </w:rPr>
      <w:instrText>PAGE  \* Arabic</w:instrText>
    </w:r>
    <w:r w:rsidRPr="00D76C65">
      <w:rPr>
        <w:rFonts w:ascii="Times New Roman" w:hAnsi="Times New Roman" w:cs="Times New Roman"/>
        <w:color w:val="808080" w:themeColor="background1" w:themeShade="80"/>
        <w:sz w:val="20"/>
        <w:szCs w:val="20"/>
      </w:rPr>
      <w:fldChar w:fldCharType="separate"/>
    </w:r>
    <w:r w:rsidRPr="00D76C65">
      <w:rPr>
        <w:rFonts w:ascii="Times New Roman" w:hAnsi="Times New Roman" w:cs="Times New Roman"/>
        <w:color w:val="808080" w:themeColor="background1" w:themeShade="80"/>
        <w:sz w:val="20"/>
        <w:szCs w:val="20"/>
      </w:rPr>
      <w:t>1</w:t>
    </w:r>
    <w:r w:rsidRPr="00D76C65">
      <w:rPr>
        <w:rFonts w:ascii="Times New Roman" w:hAnsi="Times New Roman" w:cs="Times New Roman"/>
        <w:color w:val="808080" w:themeColor="background1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0B9C6" w14:textId="77777777" w:rsidR="002A24DC" w:rsidRDefault="002A24DC" w:rsidP="002423A7">
      <w:r>
        <w:separator/>
      </w:r>
    </w:p>
  </w:footnote>
  <w:footnote w:type="continuationSeparator" w:id="0">
    <w:p w14:paraId="179A3B25" w14:textId="77777777" w:rsidR="002A24DC" w:rsidRDefault="002A24DC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969095425"/>
      <w:docPartObj>
        <w:docPartGallery w:val="Page Numbers (Top of Page)"/>
        <w:docPartUnique/>
      </w:docPartObj>
    </w:sdtPr>
    <w:sdtContent>
      <w:p w14:paraId="4D258EC1" w14:textId="6E21AC74" w:rsidR="00E276E1" w:rsidRDefault="00E276E1" w:rsidP="00E276E1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4B08887" w14:textId="77777777" w:rsidR="00E276E1" w:rsidRDefault="00E276E1" w:rsidP="00B74411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348F5"/>
    <w:multiLevelType w:val="hybridMultilevel"/>
    <w:tmpl w:val="2F1CC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60268"/>
    <w:multiLevelType w:val="multilevel"/>
    <w:tmpl w:val="E648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61909"/>
    <w:multiLevelType w:val="multilevel"/>
    <w:tmpl w:val="6596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3E09E6"/>
    <w:multiLevelType w:val="hybridMultilevel"/>
    <w:tmpl w:val="21948A92"/>
    <w:lvl w:ilvl="0" w:tplc="A8F6750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E7B42"/>
    <w:multiLevelType w:val="hybridMultilevel"/>
    <w:tmpl w:val="3D707A5A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9D10C7E"/>
    <w:multiLevelType w:val="multilevel"/>
    <w:tmpl w:val="D8A84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D0417E"/>
    <w:multiLevelType w:val="hybridMultilevel"/>
    <w:tmpl w:val="66681E6C"/>
    <w:lvl w:ilvl="0" w:tplc="2C74C69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44992"/>
    <w:multiLevelType w:val="hybridMultilevel"/>
    <w:tmpl w:val="3EC2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57226"/>
    <w:multiLevelType w:val="hybridMultilevel"/>
    <w:tmpl w:val="471EB410"/>
    <w:lvl w:ilvl="0" w:tplc="84F2A7AE">
      <w:numFmt w:val="bullet"/>
      <w:lvlText w:val=""/>
      <w:lvlJc w:val="left"/>
      <w:pPr>
        <w:ind w:left="360" w:hanging="360"/>
      </w:pPr>
      <w:rPr>
        <w:rFonts w:ascii="Symbol" w:eastAsia="Times New Roman" w:hAnsi="Symbol" w:cstheme="majorHAnsi" w:hint="default"/>
      </w:rPr>
    </w:lvl>
    <w:lvl w:ilvl="1" w:tplc="0410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2FDB20C4"/>
    <w:multiLevelType w:val="hybridMultilevel"/>
    <w:tmpl w:val="826621AC"/>
    <w:lvl w:ilvl="0" w:tplc="68C8297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23F84"/>
    <w:multiLevelType w:val="multilevel"/>
    <w:tmpl w:val="D898E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744466"/>
    <w:multiLevelType w:val="hybridMultilevel"/>
    <w:tmpl w:val="12EEB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332A1E"/>
    <w:multiLevelType w:val="multilevel"/>
    <w:tmpl w:val="E44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40594BCD"/>
    <w:multiLevelType w:val="multilevel"/>
    <w:tmpl w:val="6E7C1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B97BE6"/>
    <w:multiLevelType w:val="hybridMultilevel"/>
    <w:tmpl w:val="F124BB54"/>
    <w:lvl w:ilvl="0" w:tplc="4830E9F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8515C6"/>
    <w:multiLevelType w:val="multilevel"/>
    <w:tmpl w:val="0ABAE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EF4393"/>
    <w:multiLevelType w:val="hybridMultilevel"/>
    <w:tmpl w:val="33A475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33E6F"/>
    <w:multiLevelType w:val="hybridMultilevel"/>
    <w:tmpl w:val="C3D8ED5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2A21E4"/>
    <w:multiLevelType w:val="hybridMultilevel"/>
    <w:tmpl w:val="D94A6D1C"/>
    <w:lvl w:ilvl="0" w:tplc="241EE8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D27B6"/>
    <w:multiLevelType w:val="hybridMultilevel"/>
    <w:tmpl w:val="D01095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44394159">
    <w:abstractNumId w:val="12"/>
  </w:num>
  <w:num w:numId="2" w16cid:durableId="949701006">
    <w:abstractNumId w:val="7"/>
  </w:num>
  <w:num w:numId="3" w16cid:durableId="999582139">
    <w:abstractNumId w:val="0"/>
  </w:num>
  <w:num w:numId="4" w16cid:durableId="467430469">
    <w:abstractNumId w:val="4"/>
  </w:num>
  <w:num w:numId="5" w16cid:durableId="477771167">
    <w:abstractNumId w:val="16"/>
  </w:num>
  <w:num w:numId="6" w16cid:durableId="1892380600">
    <w:abstractNumId w:val="11"/>
  </w:num>
  <w:num w:numId="7" w16cid:durableId="1846241212">
    <w:abstractNumId w:val="8"/>
  </w:num>
  <w:num w:numId="8" w16cid:durableId="147408489">
    <w:abstractNumId w:val="3"/>
  </w:num>
  <w:num w:numId="9" w16cid:durableId="1216548355">
    <w:abstractNumId w:val="14"/>
  </w:num>
  <w:num w:numId="10" w16cid:durableId="1713379690">
    <w:abstractNumId w:val="18"/>
  </w:num>
  <w:num w:numId="11" w16cid:durableId="1470243043">
    <w:abstractNumId w:val="5"/>
  </w:num>
  <w:num w:numId="12" w16cid:durableId="619459657">
    <w:abstractNumId w:val="10"/>
  </w:num>
  <w:num w:numId="13" w16cid:durableId="614479194">
    <w:abstractNumId w:val="15"/>
  </w:num>
  <w:num w:numId="14" w16cid:durableId="1681662366">
    <w:abstractNumId w:val="2"/>
  </w:num>
  <w:num w:numId="15" w16cid:durableId="1839081085">
    <w:abstractNumId w:val="13"/>
  </w:num>
  <w:num w:numId="16" w16cid:durableId="1723485431">
    <w:abstractNumId w:val="1"/>
  </w:num>
  <w:num w:numId="17" w16cid:durableId="1824468425">
    <w:abstractNumId w:val="19"/>
  </w:num>
  <w:num w:numId="18" w16cid:durableId="1221936311">
    <w:abstractNumId w:val="17"/>
  </w:num>
  <w:num w:numId="19" w16cid:durableId="268241564">
    <w:abstractNumId w:val="6"/>
  </w:num>
  <w:num w:numId="20" w16cid:durableId="9632671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3A7"/>
    <w:rsid w:val="00011BE1"/>
    <w:rsid w:val="00014130"/>
    <w:rsid w:val="00015825"/>
    <w:rsid w:val="00032576"/>
    <w:rsid w:val="00037B2D"/>
    <w:rsid w:val="0005317A"/>
    <w:rsid w:val="00060517"/>
    <w:rsid w:val="00063DF2"/>
    <w:rsid w:val="000669D1"/>
    <w:rsid w:val="00092597"/>
    <w:rsid w:val="00096FB0"/>
    <w:rsid w:val="00097994"/>
    <w:rsid w:val="000B2842"/>
    <w:rsid w:val="000C2D8D"/>
    <w:rsid w:val="00122640"/>
    <w:rsid w:val="0015154A"/>
    <w:rsid w:val="001565B6"/>
    <w:rsid w:val="00156B5C"/>
    <w:rsid w:val="00176EBB"/>
    <w:rsid w:val="001A23A5"/>
    <w:rsid w:val="001A56ED"/>
    <w:rsid w:val="001B11F6"/>
    <w:rsid w:val="001D5BFD"/>
    <w:rsid w:val="001F55CA"/>
    <w:rsid w:val="00204980"/>
    <w:rsid w:val="00233718"/>
    <w:rsid w:val="002364CD"/>
    <w:rsid w:val="002423A7"/>
    <w:rsid w:val="0024353A"/>
    <w:rsid w:val="00244B97"/>
    <w:rsid w:val="00245052"/>
    <w:rsid w:val="00280765"/>
    <w:rsid w:val="002A24DC"/>
    <w:rsid w:val="002B0747"/>
    <w:rsid w:val="002B136D"/>
    <w:rsid w:val="002C1C0A"/>
    <w:rsid w:val="002C54D6"/>
    <w:rsid w:val="002C632B"/>
    <w:rsid w:val="002F4A00"/>
    <w:rsid w:val="0031201E"/>
    <w:rsid w:val="0032194E"/>
    <w:rsid w:val="00330D0C"/>
    <w:rsid w:val="00351D66"/>
    <w:rsid w:val="003935B1"/>
    <w:rsid w:val="003950E6"/>
    <w:rsid w:val="003B79EE"/>
    <w:rsid w:val="003C411C"/>
    <w:rsid w:val="003E316C"/>
    <w:rsid w:val="003E48E9"/>
    <w:rsid w:val="003F005F"/>
    <w:rsid w:val="003F2D43"/>
    <w:rsid w:val="00411429"/>
    <w:rsid w:val="00412223"/>
    <w:rsid w:val="00421424"/>
    <w:rsid w:val="0042234E"/>
    <w:rsid w:val="004237A5"/>
    <w:rsid w:val="00431B11"/>
    <w:rsid w:val="00446DBA"/>
    <w:rsid w:val="004664F4"/>
    <w:rsid w:val="004904AA"/>
    <w:rsid w:val="00491A3F"/>
    <w:rsid w:val="00494184"/>
    <w:rsid w:val="004A0BAB"/>
    <w:rsid w:val="004A28D4"/>
    <w:rsid w:val="004D6210"/>
    <w:rsid w:val="004E7A2F"/>
    <w:rsid w:val="004F3CE9"/>
    <w:rsid w:val="004F508D"/>
    <w:rsid w:val="00513101"/>
    <w:rsid w:val="0051332D"/>
    <w:rsid w:val="00521213"/>
    <w:rsid w:val="00525540"/>
    <w:rsid w:val="005352D6"/>
    <w:rsid w:val="00537525"/>
    <w:rsid w:val="00537A03"/>
    <w:rsid w:val="005420D0"/>
    <w:rsid w:val="005436FE"/>
    <w:rsid w:val="00550CD5"/>
    <w:rsid w:val="00557578"/>
    <w:rsid w:val="005802A3"/>
    <w:rsid w:val="005907E5"/>
    <w:rsid w:val="005C1B5C"/>
    <w:rsid w:val="005D53CA"/>
    <w:rsid w:val="005E21B3"/>
    <w:rsid w:val="005E3299"/>
    <w:rsid w:val="005E32EB"/>
    <w:rsid w:val="005F1405"/>
    <w:rsid w:val="005F4500"/>
    <w:rsid w:val="005F78C0"/>
    <w:rsid w:val="0061071B"/>
    <w:rsid w:val="00616B9F"/>
    <w:rsid w:val="00624691"/>
    <w:rsid w:val="00631506"/>
    <w:rsid w:val="00646AE7"/>
    <w:rsid w:val="006541A9"/>
    <w:rsid w:val="0065666E"/>
    <w:rsid w:val="00662963"/>
    <w:rsid w:val="006737AC"/>
    <w:rsid w:val="00674633"/>
    <w:rsid w:val="006867D0"/>
    <w:rsid w:val="00690403"/>
    <w:rsid w:val="006950C0"/>
    <w:rsid w:val="006A0E32"/>
    <w:rsid w:val="006C33C9"/>
    <w:rsid w:val="006D3213"/>
    <w:rsid w:val="006D37AA"/>
    <w:rsid w:val="006E3E66"/>
    <w:rsid w:val="006E5141"/>
    <w:rsid w:val="006F1426"/>
    <w:rsid w:val="007072A6"/>
    <w:rsid w:val="00715AA4"/>
    <w:rsid w:val="00716C18"/>
    <w:rsid w:val="0072324E"/>
    <w:rsid w:val="00725C54"/>
    <w:rsid w:val="00747A66"/>
    <w:rsid w:val="00760B6F"/>
    <w:rsid w:val="00762F17"/>
    <w:rsid w:val="007818AB"/>
    <w:rsid w:val="00783E61"/>
    <w:rsid w:val="007928BB"/>
    <w:rsid w:val="00795A47"/>
    <w:rsid w:val="007B0137"/>
    <w:rsid w:val="007B1371"/>
    <w:rsid w:val="007B251D"/>
    <w:rsid w:val="007B2993"/>
    <w:rsid w:val="007C5CB9"/>
    <w:rsid w:val="007D5B1A"/>
    <w:rsid w:val="007D7F0C"/>
    <w:rsid w:val="007E6843"/>
    <w:rsid w:val="00850E12"/>
    <w:rsid w:val="00863022"/>
    <w:rsid w:val="00867868"/>
    <w:rsid w:val="008A533C"/>
    <w:rsid w:val="008B6E7F"/>
    <w:rsid w:val="008E3EB2"/>
    <w:rsid w:val="008F3A5D"/>
    <w:rsid w:val="008F4F9A"/>
    <w:rsid w:val="008F69B8"/>
    <w:rsid w:val="00910FFF"/>
    <w:rsid w:val="00931912"/>
    <w:rsid w:val="00932EAB"/>
    <w:rsid w:val="009368ED"/>
    <w:rsid w:val="009670FE"/>
    <w:rsid w:val="00971FF8"/>
    <w:rsid w:val="00982C4D"/>
    <w:rsid w:val="009A5BEA"/>
    <w:rsid w:val="009B653F"/>
    <w:rsid w:val="009C4518"/>
    <w:rsid w:val="009D1F2A"/>
    <w:rsid w:val="009D25EF"/>
    <w:rsid w:val="00A10894"/>
    <w:rsid w:val="00A235F8"/>
    <w:rsid w:val="00A24D0D"/>
    <w:rsid w:val="00A478C2"/>
    <w:rsid w:val="00A50662"/>
    <w:rsid w:val="00A6408A"/>
    <w:rsid w:val="00A81ECD"/>
    <w:rsid w:val="00A96DA8"/>
    <w:rsid w:val="00AC4E90"/>
    <w:rsid w:val="00AC708E"/>
    <w:rsid w:val="00AD2B57"/>
    <w:rsid w:val="00AE2820"/>
    <w:rsid w:val="00AE61A9"/>
    <w:rsid w:val="00AF4D39"/>
    <w:rsid w:val="00B01D47"/>
    <w:rsid w:val="00B20F86"/>
    <w:rsid w:val="00B567D9"/>
    <w:rsid w:val="00B61292"/>
    <w:rsid w:val="00B709CA"/>
    <w:rsid w:val="00B74411"/>
    <w:rsid w:val="00B74F84"/>
    <w:rsid w:val="00B93922"/>
    <w:rsid w:val="00BD45FC"/>
    <w:rsid w:val="00BD567D"/>
    <w:rsid w:val="00BE6850"/>
    <w:rsid w:val="00BF0474"/>
    <w:rsid w:val="00BF3168"/>
    <w:rsid w:val="00C1097F"/>
    <w:rsid w:val="00C32F95"/>
    <w:rsid w:val="00C37660"/>
    <w:rsid w:val="00C40ACB"/>
    <w:rsid w:val="00C444EA"/>
    <w:rsid w:val="00C51F6E"/>
    <w:rsid w:val="00C55F1D"/>
    <w:rsid w:val="00C621F0"/>
    <w:rsid w:val="00C83432"/>
    <w:rsid w:val="00CC16EA"/>
    <w:rsid w:val="00CD2D7C"/>
    <w:rsid w:val="00D02111"/>
    <w:rsid w:val="00D20EE3"/>
    <w:rsid w:val="00D64CCC"/>
    <w:rsid w:val="00D70989"/>
    <w:rsid w:val="00D746B8"/>
    <w:rsid w:val="00D75C82"/>
    <w:rsid w:val="00D76C65"/>
    <w:rsid w:val="00D9775D"/>
    <w:rsid w:val="00DA7D04"/>
    <w:rsid w:val="00DC3A15"/>
    <w:rsid w:val="00DC5CB5"/>
    <w:rsid w:val="00DE69E2"/>
    <w:rsid w:val="00DF1577"/>
    <w:rsid w:val="00DF2382"/>
    <w:rsid w:val="00E00012"/>
    <w:rsid w:val="00E16B8A"/>
    <w:rsid w:val="00E20FA3"/>
    <w:rsid w:val="00E276E1"/>
    <w:rsid w:val="00E30ADC"/>
    <w:rsid w:val="00E63956"/>
    <w:rsid w:val="00E716B0"/>
    <w:rsid w:val="00E74438"/>
    <w:rsid w:val="00E77F33"/>
    <w:rsid w:val="00E829E4"/>
    <w:rsid w:val="00E9280C"/>
    <w:rsid w:val="00EA0207"/>
    <w:rsid w:val="00ED0381"/>
    <w:rsid w:val="00EE1FD9"/>
    <w:rsid w:val="00EF3827"/>
    <w:rsid w:val="00F06394"/>
    <w:rsid w:val="00F07D68"/>
    <w:rsid w:val="00F3481F"/>
    <w:rsid w:val="00F47977"/>
    <w:rsid w:val="00F61EF3"/>
    <w:rsid w:val="00F76C19"/>
    <w:rsid w:val="00F917B9"/>
    <w:rsid w:val="00F9758E"/>
    <w:rsid w:val="00FC3B82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docId w15:val="{14EDDF6D-5E2A-46E7-9193-D616EB04F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34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  <w:style w:type="paragraph" w:styleId="NormaleWeb">
    <w:name w:val="Normal (Web)"/>
    <w:basedOn w:val="Normale"/>
    <w:uiPriority w:val="99"/>
    <w:unhideWhenUsed/>
    <w:rsid w:val="00446DB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1752</Words>
  <Characters>9989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 – lezione n – prof.</vt:lpstr>
    </vt:vector>
  </TitlesOfParts>
  <Company/>
  <LinksUpToDate>false</LinksUpToDate>
  <CharactersWithSpaces>11718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2</cp:revision>
  <dcterms:created xsi:type="dcterms:W3CDTF">2024-08-10T08:12:00Z</dcterms:created>
  <dcterms:modified xsi:type="dcterms:W3CDTF">2024-08-10T08:12:00Z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